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80" w:before="0"/>
      </w:pPr>
      <w:r>
        <w:t xml:space="preserve"/>
      </w:r>
    </w:p>
    <w:p>
      <w:pPr>
        <w:jc w:val="center"/>
      </w:pPr>
      <w:r>
        <w:rPr>
          <w:rFonts w:ascii="Arial" w:cs="Arial" w:eastAsia="Arial" w:hAnsi="Arial"/>
          <w:b/>
          <w:bCs/>
          <w:color w:val="1E3A5F"/>
          <w:sz w:val="56"/>
          <w:szCs w:val="56"/>
        </w:rPr>
        <w:t xml:space="preserve">SOLMEDIX</w:t>
      </w:r>
    </w:p>
    <w:p>
      <w:pPr>
        <w:spacing w:after="80" w:before="80"/>
        <w:jc w:val="center"/>
      </w:pPr>
      <w:r>
        <w:rPr>
          <w:rFonts w:ascii="Arial" w:cs="Arial" w:eastAsia="Arial" w:hAnsi="Arial"/>
          <w:color w:val="64748B"/>
          <w:sz w:val="26"/>
          <w:szCs w:val="26"/>
        </w:rPr>
        <w:t xml:space="preserve">Soluciones Médicas SA de CV</w:t>
      </w:r>
    </w:p>
    <w:p>
      <w:pPr>
        <w:spacing w:after="400" w:before="0"/>
      </w:pPr>
      <w:r>
        <w:t xml:space="preserve"/>
      </w:r>
    </w:p>
    <w:p>
      <w:pPr>
        <w:pBdr>
          <w:top w:val="single" w:color="1E3A5F" w:sz="8"/>
          <w:bottom w:val="single" w:color="1E3A5F" w:sz="8"/>
        </w:pBdr>
        <w:spacing w:after="160" w:before="160"/>
        <w:jc w:val="center"/>
      </w:pPr>
      <w:r>
        <w:rPr>
          <w:rFonts w:ascii="Arial" w:cs="Arial" w:eastAsia="Arial" w:hAnsi="Arial"/>
          <w:b/>
          <w:bCs/>
          <w:color w:val="1E3A5F"/>
          <w:sz w:val="40"/>
          <w:szCs w:val="40"/>
        </w:rPr>
        <w:t xml:space="preserve">Manual de Cierre Fiscal Mensual</w:t>
      </w:r>
    </w:p>
    <w:p>
      <w:pPr>
        <w:spacing w:after="400" w:before="0"/>
      </w:pPr>
      <w:r>
        <w:t xml:space="preserve"/>
      </w:r>
    </w:p>
    <w:p>
      <w:pPr>
        <w:jc w:val="center"/>
      </w:pPr>
      <w:r>
        <w:rPr>
          <w:rFonts w:ascii="Arial" w:cs="Arial" w:eastAsia="Arial" w:hAnsi="Arial"/>
          <w:color w:val="64748B"/>
          <w:sz w:val="22"/>
          <w:szCs w:val="22"/>
        </w:rPr>
        <w:t xml:space="preserve">Proceso completo para preparar y cerrar la declaración mensual</w:t>
      </w:r>
    </w:p>
    <w:p>
      <w:pPr>
        <w:spacing w:after="200" w:before="0"/>
      </w:pPr>
      <w:r>
        <w:t xml:space="preserve"/>
      </w:r>
    </w:p>
    <w:p>
      <w:pPr>
        <w:jc w:val="center"/>
      </w:pPr>
      <w:r>
        <w:rPr>
          <w:rFonts w:ascii="Arial" w:cs="Arial" w:eastAsia="Arial" w:hAnsi="Arial"/>
          <w:color w:val="64748B"/>
          <w:sz w:val="20"/>
          <w:szCs w:val="20"/>
        </w:rPr>
        <w:t xml:space="preserve">RFC: SSM180928AQ7  |  Régimen 601 General de Ley</w:t>
      </w:r>
    </w:p>
    <w:p>
      <w:pPr>
        <w:spacing w:after="600" w:before="0"/>
      </w:pPr>
      <w:r>
        <w:t xml:space="preserve"/>
      </w:r>
    </w:p>
    <w:p>
      <w:pPr>
        <w:jc w:val="center"/>
      </w:pPr>
      <w:r>
        <w:rPr>
          <w:rFonts w:ascii="Arial" w:cs="Arial" w:eastAsia="Arial" w:hAnsi="Arial"/>
          <w:b/>
          <w:bCs/>
          <w:color w:val="64748B"/>
          <w:sz w:val="28"/>
          <w:szCs w:val="28"/>
        </w:rPr>
        <w:t xml:space="preserve">2026</w:t>
      </w:r>
    </w:p>
    <w:p>
      <w:r>
        <w:br w:type="page"/>
      </w:r>
    </w:p>
    <w:p>
      <w:pPr>
        <w:pStyle w:val="Heading1"/>
        <w:pBdr>
          <w:bottom w:val="single" w:color="1E3A5F" w:sz="8" w:space="6"/>
        </w:pBdr>
        <w:spacing w:after="160" w:before="400"/>
      </w:pPr>
      <w:r>
        <w:rPr>
          <w:rFonts w:ascii="Arial" w:cs="Arial" w:eastAsia="Arial" w:hAnsi="Arial"/>
          <w:b/>
          <w:bCs/>
          <w:color w:val="1E3A5F"/>
          <w:sz w:val="32"/>
          <w:szCs w:val="32"/>
        </w:rPr>
        <w:t xml:space="preserve">1. Visión General del Proceso</w:t>
      </w:r>
    </w:p>
    <w:p>
      <w:pPr>
        <w:spacing w:after="80" w:before="80"/>
      </w:pPr>
      <w:r>
        <w:rPr>
          <w:rFonts w:ascii="Arial" w:cs="Arial" w:eastAsia="Arial" w:hAnsi="Arial"/>
          <w:color w:val="1E293B"/>
          <w:sz w:val="21"/>
          <w:szCs w:val="21"/>
        </w:rPr>
        <w:t xml:space="preserve">Cada mes, el proceso de cierre fiscal de Solmedix sigue el mismo flujo en tres etapas: preparación en el sistema, envío al contador, y cierre una vez presentada la declaración ante el SAT.</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Etapa</w:t>
            </w:r>
          </w:p>
        </w:tc>
        <w:tc>
          <w:tcPr>
            <w:tcW w:type="dxa" w:w="234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Responsable</w:t>
            </w:r>
          </w:p>
        </w:tc>
        <w:tc>
          <w:tcPr>
            <w:tcW w:type="dxa" w:w="234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Herramienta</w:t>
            </w:r>
          </w:p>
        </w:tc>
        <w:tc>
          <w:tcPr>
            <w:tcW w:type="dxa" w:w="234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Tiempo estimado</w:t>
            </w:r>
          </w:p>
        </w:tc>
      </w:tr>
      <w:tr>
        <w:tc>
          <w:tcPr>
            <w:tcW w:type="dxa" w:w="23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Preparación: subir XMLs y CSV Albo</w:t>
            </w:r>
          </w:p>
        </w:tc>
        <w:tc>
          <w:tcPr>
            <w:tcW w:type="dxa" w:w="23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Alfredo</w:t>
            </w:r>
          </w:p>
        </w:tc>
        <w:tc>
          <w:tcPr>
            <w:tcW w:type="dxa" w:w="23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Sistema Solmedix (admin.html)</w:t>
            </w:r>
          </w:p>
        </w:tc>
        <w:tc>
          <w:tcPr>
            <w:tcW w:type="dxa" w:w="23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20-30 min</w:t>
            </w:r>
          </w:p>
        </w:tc>
      </w:tr>
      <w:tr>
        <w:tc>
          <w:tcPr>
            <w:tcW w:type="dxa" w:w="234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Generación del paquete ZIP</w:t>
            </w:r>
          </w:p>
        </w:tc>
        <w:tc>
          <w:tcPr>
            <w:tcW w:type="dxa" w:w="234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Alfredo</w:t>
            </w:r>
          </w:p>
        </w:tc>
        <w:tc>
          <w:tcPr>
            <w:tcW w:type="dxa" w:w="234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Sistema Solmedix → Botón ZIP</w:t>
            </w:r>
          </w:p>
        </w:tc>
        <w:tc>
          <w:tcPr>
            <w:tcW w:type="dxa" w:w="234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1 min</w:t>
            </w:r>
          </w:p>
        </w:tc>
      </w:tr>
      <w:tr>
        <w:tc>
          <w:tcPr>
            <w:tcW w:type="dxa" w:w="23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Presentación ante SAT</w:t>
            </w:r>
          </w:p>
        </w:tc>
        <w:tc>
          <w:tcPr>
            <w:tcW w:type="dxa" w:w="23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Contador</w:t>
            </w:r>
          </w:p>
        </w:tc>
        <w:tc>
          <w:tcPr>
            <w:tcW w:type="dxa" w:w="23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Portal SAT + FIEL</w:t>
            </w:r>
          </w:p>
        </w:tc>
        <w:tc>
          <w:tcPr>
            <w:tcW w:type="dxa" w:w="23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30-60 min</w:t>
            </w:r>
          </w:p>
        </w:tc>
      </w:tr>
      <w:tr>
        <w:tc>
          <w:tcPr>
            <w:tcW w:type="dxa" w:w="234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Cierre en sistema</w:t>
            </w:r>
          </w:p>
        </w:tc>
        <w:tc>
          <w:tcPr>
            <w:tcW w:type="dxa" w:w="234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Alfredo</w:t>
            </w:r>
          </w:p>
        </w:tc>
        <w:tc>
          <w:tcPr>
            <w:tcW w:type="dxa" w:w="234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Sistema Solmedix → Sección ④</w:t>
            </w:r>
          </w:p>
        </w:tc>
        <w:tc>
          <w:tcPr>
            <w:tcW w:type="dxa" w:w="234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5 min</w:t>
            </w:r>
          </w:p>
        </w:tc>
      </w:tr>
    </w:tbl>
    <w:p>
      <w:pPr>
        <w:spacing w:after="20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FEF9C3" w:val="clear"/>
            <w:tcMar>
              <w:top w:type="dxa" w:w="80"/>
              <w:left w:type="dxa" w:w="120"/>
              <w:bottom w:type="dxa" w:w="80"/>
              <w:right w:type="dxa" w:w="60"/>
            </w:tcMar>
            <w:vAlign w:val="center"/>
          </w:tcPr>
          <w:p>
            <w:pPr>
              <w:jc w:val="center"/>
            </w:pPr>
            <w:r>
              <w:rPr>
                <w:rFonts w:ascii="Segoe UI Emoji" w:cs="Segoe UI Emoji" w:eastAsia="Segoe UI Emoji" w:hAnsi="Segoe UI Emoji"/>
                <w:sz w:val="24"/>
                <w:szCs w:val="24"/>
              </w:rPr>
              <w:t xml:space="preserve">⚠️</w:t>
            </w:r>
          </w:p>
        </w:tc>
        <w:tc>
          <w:tcPr>
            <w:tcW w:type="dxa" w:w="8960"/>
            <w:tcBorders>
              <w:top w:val="none" w:color="FFFFFF" w:sz="0"/>
              <w:left w:val="none" w:color="FFFFFF" w:sz="0"/>
              <w:bottom w:val="none" w:color="FFFFFF" w:sz="0"/>
              <w:right w:val="none" w:color="FFFFFF" w:sz="0"/>
            </w:tcBorders>
            <w:shd w:fill="FEF9C3" w:val="clear"/>
            <w:tcMar>
              <w:top w:type="dxa" w:w="80"/>
              <w:left w:type="dxa" w:w="120"/>
              <w:bottom w:type="dxa" w:w="80"/>
              <w:right w:type="dxa" w:w="120"/>
            </w:tcMar>
          </w:tcPr>
          <w:p>
            <w:r>
              <w:rPr>
                <w:rFonts w:ascii="Arial" w:cs="Arial" w:eastAsia="Arial" w:hAnsi="Arial"/>
                <w:color w:val="1E293B"/>
                <w:sz w:val="20"/>
                <w:szCs w:val="20"/>
              </w:rPr>
              <w:t xml:space="preserve">IMPORTANTE: El sistema genera toda la documentación necesaria, pero solo el contador puede presentar la declaración ante el SAT usando su firma electrónica (FIEL). Sin ese paso la declaración no existe ante el SAT.</w:t>
            </w:r>
          </w:p>
        </w:tc>
      </w:tr>
    </w:tbl>
    <w:p>
      <w:pPr>
        <w:spacing w:after="200" w:before="0"/>
      </w:pPr>
      <w:r>
        <w:t xml:space="preserve"/>
      </w:r>
    </w:p>
    <w:p>
      <w:r>
        <w:br w:type="page"/>
      </w:r>
    </w:p>
    <w:p>
      <w:pPr>
        <w:pStyle w:val="Heading1"/>
        <w:pBdr>
          <w:bottom w:val="single" w:color="1E3A5F" w:sz="8" w:space="6"/>
        </w:pBdr>
        <w:spacing w:after="160" w:before="400"/>
      </w:pPr>
      <w:r>
        <w:rPr>
          <w:rFonts w:ascii="Arial" w:cs="Arial" w:eastAsia="Arial" w:hAnsi="Arial"/>
          <w:b/>
          <w:bCs/>
          <w:color w:val="1E3A5F"/>
          <w:sz w:val="32"/>
          <w:szCs w:val="32"/>
        </w:rPr>
        <w:t xml:space="preserve">2. Preparación — Lo que hace Alfredo</w:t>
      </w:r>
    </w:p>
    <w:p>
      <w:pPr>
        <w:spacing w:after="80" w:before="80"/>
      </w:pPr>
      <w:r>
        <w:rPr>
          <w:rFonts w:ascii="Arial" w:cs="Arial" w:eastAsia="Arial" w:hAnsi="Arial"/>
          <w:color w:val="1E293B"/>
          <w:sz w:val="21"/>
          <w:szCs w:val="21"/>
        </w:rPr>
        <w:t xml:space="preserve">Realiza estos pasos entre los días 1 y 15 del mes siguiente al que se declara.</w:t>
      </w:r>
    </w:p>
    <w:p>
      <w:pPr>
        <w:spacing w:after="120" w:before="0"/>
      </w:pPr>
      <w:r>
        <w:t xml:space="preserve"/>
      </w:r>
    </w:p>
    <w:p>
      <w:pPr>
        <w:pStyle w:val="Heading2"/>
        <w:spacing w:after="120" w:before="320"/>
      </w:pPr>
      <w:r>
        <w:rPr>
          <w:rFonts w:ascii="Arial" w:cs="Arial" w:eastAsia="Arial" w:hAnsi="Arial"/>
          <w:b/>
          <w:bCs/>
          <w:color w:val="1E3A5F"/>
          <w:sz w:val="26"/>
          <w:szCs w:val="26"/>
        </w:rPr>
        <w:t xml:space="preserve">2.1 Acceso al sistema</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E3A5F" w:val="clear"/>
            <w:tcMar>
              <w:top w:type="dxa" w:w="80"/>
              <w:left w:type="dxa" w:w="100"/>
              <w:bottom w:type="dxa" w:w="80"/>
              <w:right w:type="dxa" w:w="100"/>
            </w:tcMar>
            <w:vAlign w:val="center"/>
          </w:tcPr>
          <w:p>
            <w:pPr>
              <w:jc w:val="center"/>
            </w:pPr>
            <w:r>
              <w:rPr>
                <w:rFonts w:ascii="Arial" w:cs="Arial" w:eastAsia="Arial" w:hAnsi="Arial"/>
                <w:b/>
                <w:bCs/>
                <w:color w:val="FFFFFF"/>
                <w:sz w:val="26"/>
                <w:szCs w:val="26"/>
              </w:rPr>
              <w:t xml:space="preserve">1</w:t>
            </w:r>
          </w:p>
        </w:tc>
        <w:tc>
          <w:tcPr>
            <w:tcW w:type="dxa" w:w="8660"/>
            <w:tcBorders>
              <w:top w:val="none" w:color="FFFFFF" w:sz="0"/>
              <w:left w:val="none" w:color="FFFFFF" w:sz="0"/>
              <w:bottom w:val="none" w:color="FFFFFF" w:sz="0"/>
              <w:right w:val="none" w:color="FFFFFF" w:sz="0"/>
            </w:tcBorders>
            <w:tcMar>
              <w:top w:type="dxa" w:w="80"/>
              <w:left w:type="dxa" w:w="160"/>
              <w:bottom w:type="dxa" w:w="80"/>
              <w:right w:type="dxa" w:w="100"/>
            </w:tcMar>
          </w:tcPr>
          <w:p>
            <w:r>
              <w:rPr>
                <w:rFonts w:ascii="Arial" w:cs="Arial" w:eastAsia="Arial" w:hAnsi="Arial"/>
                <w:b/>
                <w:bCs/>
                <w:color w:val="1E3A5F"/>
                <w:sz w:val="22"/>
                <w:szCs w:val="22"/>
              </w:rPr>
              <w:t xml:space="preserve">Abrir el sistema</w:t>
            </w:r>
          </w:p>
          <w:p>
            <w:r>
              <w:rPr>
                <w:rFonts w:ascii="Arial" w:cs="Arial" w:eastAsia="Arial" w:hAnsi="Arial"/>
                <w:color w:val="1E293B"/>
                <w:sz w:val="20"/>
                <w:szCs w:val="20"/>
              </w:rPr>
              <w:t xml:space="preserve">Ingresa a https://bealfaro2.github.io/solmedix-pos/admin.html</w:t>
            </w:r>
          </w:p>
        </w:tc>
      </w:tr>
    </w:tbl>
    <w:p>
      <w:pPr>
        <w:spacing w:after="8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E3A5F" w:val="clear"/>
            <w:tcMar>
              <w:top w:type="dxa" w:w="80"/>
              <w:left w:type="dxa" w:w="100"/>
              <w:bottom w:type="dxa" w:w="80"/>
              <w:right w:type="dxa" w:w="100"/>
            </w:tcMar>
            <w:vAlign w:val="center"/>
          </w:tcPr>
          <w:p>
            <w:pPr>
              <w:jc w:val="center"/>
            </w:pPr>
            <w:r>
              <w:rPr>
                <w:rFonts w:ascii="Arial" w:cs="Arial" w:eastAsia="Arial" w:hAnsi="Arial"/>
                <w:b/>
                <w:bCs/>
                <w:color w:val="FFFFFF"/>
                <w:sz w:val="26"/>
                <w:szCs w:val="26"/>
              </w:rPr>
              <w:t xml:space="preserve">2</w:t>
            </w:r>
          </w:p>
        </w:tc>
        <w:tc>
          <w:tcPr>
            <w:tcW w:type="dxa" w:w="8660"/>
            <w:tcBorders>
              <w:top w:val="none" w:color="FFFFFF" w:sz="0"/>
              <w:left w:val="none" w:color="FFFFFF" w:sz="0"/>
              <w:bottom w:val="none" w:color="FFFFFF" w:sz="0"/>
              <w:right w:val="none" w:color="FFFFFF" w:sz="0"/>
            </w:tcBorders>
            <w:tcMar>
              <w:top w:type="dxa" w:w="80"/>
              <w:left w:type="dxa" w:w="160"/>
              <w:bottom w:type="dxa" w:w="80"/>
              <w:right w:type="dxa" w:w="100"/>
            </w:tcMar>
          </w:tcPr>
          <w:p>
            <w:r>
              <w:rPr>
                <w:rFonts w:ascii="Arial" w:cs="Arial" w:eastAsia="Arial" w:hAnsi="Arial"/>
                <w:b/>
                <w:bCs/>
                <w:color w:val="1E3A5F"/>
                <w:sz w:val="22"/>
                <w:szCs w:val="22"/>
              </w:rPr>
              <w:t xml:space="preserve">Iniciar sesión</w:t>
            </w:r>
          </w:p>
          <w:p>
            <w:r>
              <w:rPr>
                <w:rFonts w:ascii="Arial" w:cs="Arial" w:eastAsia="Arial" w:hAnsi="Arial"/>
                <w:color w:val="1E293B"/>
                <w:sz w:val="20"/>
                <w:szCs w:val="20"/>
              </w:rPr>
              <w:t xml:space="preserve">Ingresa con tu contraseña de Administrador. Si olvidaste la contraseña, usa la opción de recuperación en la pantalla de login.</w:t>
            </w:r>
          </w:p>
        </w:tc>
      </w:tr>
    </w:tbl>
    <w:p>
      <w:pPr>
        <w:spacing w:after="8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E3A5F" w:val="clear"/>
            <w:tcMar>
              <w:top w:type="dxa" w:w="80"/>
              <w:left w:type="dxa" w:w="100"/>
              <w:bottom w:type="dxa" w:w="80"/>
              <w:right w:type="dxa" w:w="100"/>
            </w:tcMar>
            <w:vAlign w:val="center"/>
          </w:tcPr>
          <w:p>
            <w:pPr>
              <w:jc w:val="center"/>
            </w:pPr>
            <w:r>
              <w:rPr>
                <w:rFonts w:ascii="Arial" w:cs="Arial" w:eastAsia="Arial" w:hAnsi="Arial"/>
                <w:b/>
                <w:bCs/>
                <w:color w:val="FFFFFF"/>
                <w:sz w:val="26"/>
                <w:szCs w:val="26"/>
              </w:rPr>
              <w:t xml:space="preserve">3</w:t>
            </w:r>
          </w:p>
        </w:tc>
        <w:tc>
          <w:tcPr>
            <w:tcW w:type="dxa" w:w="8660"/>
            <w:tcBorders>
              <w:top w:val="none" w:color="FFFFFF" w:sz="0"/>
              <w:left w:val="none" w:color="FFFFFF" w:sz="0"/>
              <w:bottom w:val="none" w:color="FFFFFF" w:sz="0"/>
              <w:right w:val="none" w:color="FFFFFF" w:sz="0"/>
            </w:tcBorders>
            <w:tcMar>
              <w:top w:type="dxa" w:w="80"/>
              <w:left w:type="dxa" w:w="160"/>
              <w:bottom w:type="dxa" w:w="80"/>
              <w:right w:type="dxa" w:w="100"/>
            </w:tcMar>
          </w:tcPr>
          <w:p>
            <w:r>
              <w:rPr>
                <w:rFonts w:ascii="Arial" w:cs="Arial" w:eastAsia="Arial" w:hAnsi="Arial"/>
                <w:b/>
                <w:bCs/>
                <w:color w:val="1E3A5F"/>
                <w:sz w:val="22"/>
                <w:szCs w:val="22"/>
              </w:rPr>
              <w:t xml:space="preserve">Seleccionar período y módulo</w:t>
            </w:r>
          </w:p>
          <w:p>
            <w:r>
              <w:rPr>
                <w:rFonts w:ascii="Arial" w:cs="Arial" w:eastAsia="Arial" w:hAnsi="Arial"/>
                <w:color w:val="1E293B"/>
                <w:sz w:val="20"/>
                <w:szCs w:val="20"/>
              </w:rPr>
              <w:t xml:space="preserve">En el menú superior selecciona "Fiscal". En el selector de período elige el mes a declarar (ej. Abril 2026). Verifica que el selector de sucursal diga "Todas".</w:t>
            </w:r>
          </w:p>
        </w:tc>
      </w:tr>
    </w:tbl>
    <w:p>
      <w:pPr>
        <w:spacing w:after="200" w:before="0"/>
      </w:pPr>
      <w:r>
        <w:t xml:space="preserve"/>
      </w:r>
    </w:p>
    <w:p>
      <w:pPr>
        <w:pStyle w:val="Heading2"/>
        <w:spacing w:after="120" w:before="320"/>
      </w:pPr>
      <w:r>
        <w:rPr>
          <w:rFonts w:ascii="Arial" w:cs="Arial" w:eastAsia="Arial" w:hAnsi="Arial"/>
          <w:b/>
          <w:bCs/>
          <w:color w:val="1E3A5F"/>
          <w:sz w:val="26"/>
          <w:szCs w:val="26"/>
        </w:rPr>
        <w:t xml:space="preserve">2.2 Subir ingresos CFDI</w:t>
      </w:r>
    </w:p>
    <w:p>
      <w:pPr>
        <w:spacing w:after="80" w:before="80"/>
      </w:pPr>
      <w:r>
        <w:rPr>
          <w:rFonts w:ascii="Arial" w:cs="Arial" w:eastAsia="Arial" w:hAnsi="Arial"/>
          <w:color w:val="1E293B"/>
          <w:sz w:val="21"/>
          <w:szCs w:val="21"/>
        </w:rPr>
        <w:t xml:space="preserve">Los XMLs de ingresos son las facturas que Solmedix emitió a sus clientes ese mes. Los obtienes del portal del SAT o de tu programa de facturación.</w:t>
      </w:r>
    </w:p>
    <w:p>
      <w:pPr>
        <w:spacing w:after="10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E3A5F" w:val="clear"/>
            <w:tcMar>
              <w:top w:type="dxa" w:w="80"/>
              <w:left w:type="dxa" w:w="100"/>
              <w:bottom w:type="dxa" w:w="80"/>
              <w:right w:type="dxa" w:w="100"/>
            </w:tcMar>
            <w:vAlign w:val="center"/>
          </w:tcPr>
          <w:p>
            <w:pPr>
              <w:jc w:val="center"/>
            </w:pPr>
            <w:r>
              <w:rPr>
                <w:rFonts w:ascii="Arial" w:cs="Arial" w:eastAsia="Arial" w:hAnsi="Arial"/>
                <w:b/>
                <w:bCs/>
                <w:color w:val="FFFFFF"/>
                <w:sz w:val="26"/>
                <w:szCs w:val="26"/>
              </w:rPr>
              <w:t xml:space="preserve">1</w:t>
            </w:r>
          </w:p>
        </w:tc>
        <w:tc>
          <w:tcPr>
            <w:tcW w:type="dxa" w:w="8660"/>
            <w:tcBorders>
              <w:top w:val="none" w:color="FFFFFF" w:sz="0"/>
              <w:left w:val="none" w:color="FFFFFF" w:sz="0"/>
              <w:bottom w:val="none" w:color="FFFFFF" w:sz="0"/>
              <w:right w:val="none" w:color="FFFFFF" w:sz="0"/>
            </w:tcBorders>
            <w:tcMar>
              <w:top w:type="dxa" w:w="80"/>
              <w:left w:type="dxa" w:w="160"/>
              <w:bottom w:type="dxa" w:w="80"/>
              <w:right w:type="dxa" w:w="100"/>
            </w:tcMar>
          </w:tcPr>
          <w:p>
            <w:r>
              <w:rPr>
                <w:rFonts w:ascii="Arial" w:cs="Arial" w:eastAsia="Arial" w:hAnsi="Arial"/>
                <w:b/>
                <w:bCs/>
                <w:color w:val="1E3A5F"/>
                <w:sz w:val="22"/>
                <w:szCs w:val="22"/>
              </w:rPr>
              <w:t xml:space="preserve">Ir a Ingresos CFDI</w:t>
            </w:r>
          </w:p>
          <w:p>
            <w:r>
              <w:rPr>
                <w:rFonts w:ascii="Arial" w:cs="Arial" w:eastAsia="Arial" w:hAnsi="Arial"/>
                <w:color w:val="1E293B"/>
                <w:sz w:val="20"/>
                <w:szCs w:val="20"/>
              </w:rPr>
              <w:t xml:space="preserve">En el menú de Fiscal haz clic en "Ingresos CFDI".</w:t>
            </w:r>
          </w:p>
        </w:tc>
      </w:tr>
    </w:tbl>
    <w:p>
      <w:pPr>
        <w:spacing w:after="8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E3A5F" w:val="clear"/>
            <w:tcMar>
              <w:top w:type="dxa" w:w="80"/>
              <w:left w:type="dxa" w:w="100"/>
              <w:bottom w:type="dxa" w:w="80"/>
              <w:right w:type="dxa" w:w="100"/>
            </w:tcMar>
            <w:vAlign w:val="center"/>
          </w:tcPr>
          <w:p>
            <w:pPr>
              <w:jc w:val="center"/>
            </w:pPr>
            <w:r>
              <w:rPr>
                <w:rFonts w:ascii="Arial" w:cs="Arial" w:eastAsia="Arial" w:hAnsi="Arial"/>
                <w:b/>
                <w:bCs/>
                <w:color w:val="FFFFFF"/>
                <w:sz w:val="26"/>
                <w:szCs w:val="26"/>
              </w:rPr>
              <w:t xml:space="preserve">2</w:t>
            </w:r>
          </w:p>
        </w:tc>
        <w:tc>
          <w:tcPr>
            <w:tcW w:type="dxa" w:w="8660"/>
            <w:tcBorders>
              <w:top w:val="none" w:color="FFFFFF" w:sz="0"/>
              <w:left w:val="none" w:color="FFFFFF" w:sz="0"/>
              <w:bottom w:val="none" w:color="FFFFFF" w:sz="0"/>
              <w:right w:val="none" w:color="FFFFFF" w:sz="0"/>
            </w:tcBorders>
            <w:tcMar>
              <w:top w:type="dxa" w:w="80"/>
              <w:left w:type="dxa" w:w="160"/>
              <w:bottom w:type="dxa" w:w="80"/>
              <w:right w:type="dxa" w:w="100"/>
            </w:tcMar>
          </w:tcPr>
          <w:p>
            <w:r>
              <w:rPr>
                <w:rFonts w:ascii="Arial" w:cs="Arial" w:eastAsia="Arial" w:hAnsi="Arial"/>
                <w:b/>
                <w:bCs/>
                <w:color w:val="1E3A5F"/>
                <w:sz w:val="22"/>
                <w:szCs w:val="22"/>
              </w:rPr>
              <w:t xml:space="preserve">Subir XMLs</w:t>
            </w:r>
          </w:p>
          <w:p>
            <w:r>
              <w:rPr>
                <w:rFonts w:ascii="Arial" w:cs="Arial" w:eastAsia="Arial" w:hAnsi="Arial"/>
                <w:color w:val="1E293B"/>
                <w:sz w:val="20"/>
                <w:szCs w:val="20"/>
              </w:rPr>
              <w:t xml:space="preserve">Arrastra todos los archivos XML de facturas emitidas del mes al área de carga, o haz clic en el área para seleccionarlos. Puedes subir varios a la vez.</w:t>
            </w:r>
          </w:p>
        </w:tc>
      </w:tr>
    </w:tbl>
    <w:p>
      <w:pPr>
        <w:spacing w:after="8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E3A5F" w:val="clear"/>
            <w:tcMar>
              <w:top w:type="dxa" w:w="80"/>
              <w:left w:type="dxa" w:w="100"/>
              <w:bottom w:type="dxa" w:w="80"/>
              <w:right w:type="dxa" w:w="100"/>
            </w:tcMar>
            <w:vAlign w:val="center"/>
          </w:tcPr>
          <w:p>
            <w:pPr>
              <w:jc w:val="center"/>
            </w:pPr>
            <w:r>
              <w:rPr>
                <w:rFonts w:ascii="Arial" w:cs="Arial" w:eastAsia="Arial" w:hAnsi="Arial"/>
                <w:b/>
                <w:bCs/>
                <w:color w:val="FFFFFF"/>
                <w:sz w:val="26"/>
                <w:szCs w:val="26"/>
              </w:rPr>
              <w:t xml:space="preserve">3</w:t>
            </w:r>
          </w:p>
        </w:tc>
        <w:tc>
          <w:tcPr>
            <w:tcW w:type="dxa" w:w="8660"/>
            <w:tcBorders>
              <w:top w:val="none" w:color="FFFFFF" w:sz="0"/>
              <w:left w:val="none" w:color="FFFFFF" w:sz="0"/>
              <w:bottom w:val="none" w:color="FFFFFF" w:sz="0"/>
              <w:right w:val="none" w:color="FFFFFF" w:sz="0"/>
            </w:tcBorders>
            <w:tcMar>
              <w:top w:type="dxa" w:w="80"/>
              <w:left w:type="dxa" w:w="160"/>
              <w:bottom w:type="dxa" w:w="80"/>
              <w:right w:type="dxa" w:w="100"/>
            </w:tcMar>
          </w:tcPr>
          <w:p>
            <w:r>
              <w:rPr>
                <w:rFonts w:ascii="Arial" w:cs="Arial" w:eastAsia="Arial" w:hAnsi="Arial"/>
                <w:b/>
                <w:bCs/>
                <w:color w:val="1E3A5F"/>
                <w:sz w:val="22"/>
                <w:szCs w:val="22"/>
              </w:rPr>
              <w:t xml:space="preserve">Revisar preview</w:t>
            </w:r>
          </w:p>
          <w:p>
            <w:r>
              <w:rPr>
                <w:rFonts w:ascii="Arial" w:cs="Arial" w:eastAsia="Arial" w:hAnsi="Arial"/>
                <w:color w:val="1E293B"/>
                <w:sz w:val="20"/>
                <w:szCs w:val="20"/>
              </w:rPr>
              <w:t xml:space="preserve">El sistema muestra una tabla con cada factura detectada: folio, RFC del receptor, subtotal, IVA y total. Verifica que el número de facturas cuadre con lo que emitiste.</w:t>
            </w:r>
          </w:p>
        </w:tc>
      </w:tr>
    </w:tbl>
    <w:p>
      <w:pPr>
        <w:spacing w:after="8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E3A5F" w:val="clear"/>
            <w:tcMar>
              <w:top w:type="dxa" w:w="80"/>
              <w:left w:type="dxa" w:w="100"/>
              <w:bottom w:type="dxa" w:w="80"/>
              <w:right w:type="dxa" w:w="100"/>
            </w:tcMar>
            <w:vAlign w:val="center"/>
          </w:tcPr>
          <w:p>
            <w:pPr>
              <w:jc w:val="center"/>
            </w:pPr>
            <w:r>
              <w:rPr>
                <w:rFonts w:ascii="Arial" w:cs="Arial" w:eastAsia="Arial" w:hAnsi="Arial"/>
                <w:b/>
                <w:bCs/>
                <w:color w:val="FFFFFF"/>
                <w:sz w:val="26"/>
                <w:szCs w:val="26"/>
              </w:rPr>
              <w:t xml:space="preserve">4</w:t>
            </w:r>
          </w:p>
        </w:tc>
        <w:tc>
          <w:tcPr>
            <w:tcW w:type="dxa" w:w="8660"/>
            <w:tcBorders>
              <w:top w:val="none" w:color="FFFFFF" w:sz="0"/>
              <w:left w:val="none" w:color="FFFFFF" w:sz="0"/>
              <w:bottom w:val="none" w:color="FFFFFF" w:sz="0"/>
              <w:right w:val="none" w:color="FFFFFF" w:sz="0"/>
            </w:tcBorders>
            <w:tcMar>
              <w:top w:type="dxa" w:w="80"/>
              <w:left w:type="dxa" w:w="160"/>
              <w:bottom w:type="dxa" w:w="80"/>
              <w:right w:type="dxa" w:w="100"/>
            </w:tcMar>
          </w:tcPr>
          <w:p>
            <w:r>
              <w:rPr>
                <w:rFonts w:ascii="Arial" w:cs="Arial" w:eastAsia="Arial" w:hAnsi="Arial"/>
                <w:b/>
                <w:bCs/>
                <w:color w:val="1E3A5F"/>
                <w:sz w:val="22"/>
                <w:szCs w:val="22"/>
              </w:rPr>
              <w:t xml:space="preserve">Guardar</w:t>
            </w:r>
          </w:p>
          <w:p>
            <w:r>
              <w:rPr>
                <w:rFonts w:ascii="Arial" w:cs="Arial" w:eastAsia="Arial" w:hAnsi="Arial"/>
                <w:color w:val="1E293B"/>
                <w:sz w:val="20"/>
                <w:szCs w:val="20"/>
              </w:rPr>
              <w:t xml:space="preserve">Haz clic en "💾 Guardar todos los válidos". El sistema confirma cuántas se guardaron y cuántas eran duplicadas.</w:t>
            </w:r>
          </w:p>
        </w:tc>
      </w:tr>
    </w:tbl>
    <w:p>
      <w:pPr>
        <w:spacing w:after="16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EFF6FF" w:val="clear"/>
            <w:tcMar>
              <w:top w:type="dxa" w:w="80"/>
              <w:left w:type="dxa" w:w="120"/>
              <w:bottom w:type="dxa" w:w="80"/>
              <w:right w:type="dxa" w:w="60"/>
            </w:tcMar>
            <w:vAlign w:val="center"/>
          </w:tcPr>
          <w:p>
            <w:pPr>
              <w:jc w:val="center"/>
            </w:pPr>
            <w:r>
              <w:rPr>
                <w:rFonts w:ascii="Segoe UI Emoji" w:cs="Segoe UI Emoji" w:eastAsia="Segoe UI Emoji" w:hAnsi="Segoe UI Emoji"/>
                <w:sz w:val="24"/>
                <w:szCs w:val="24"/>
              </w:rPr>
              <w:t xml:space="preserve">💡</w:t>
            </w:r>
          </w:p>
        </w:tc>
        <w:tc>
          <w:tcPr>
            <w:tcW w:type="dxa" w:w="8960"/>
            <w:tcBorders>
              <w:top w:val="none" w:color="FFFFFF" w:sz="0"/>
              <w:left w:val="none" w:color="FFFFFF" w:sz="0"/>
              <w:bottom w:val="none" w:color="FFFFFF" w:sz="0"/>
              <w:right w:val="none" w:color="FFFFFF" w:sz="0"/>
            </w:tcBorders>
            <w:shd w:fill="EFF6FF" w:val="clear"/>
            <w:tcMar>
              <w:top w:type="dxa" w:w="80"/>
              <w:left w:type="dxa" w:w="120"/>
              <w:bottom w:type="dxa" w:w="80"/>
              <w:right w:type="dxa" w:w="120"/>
            </w:tcMar>
          </w:tcPr>
          <w:p>
            <w:r>
              <w:rPr>
                <w:rFonts w:ascii="Arial" w:cs="Arial" w:eastAsia="Arial" w:hAnsi="Arial"/>
                <w:color w:val="1E293B"/>
                <w:sz w:val="20"/>
                <w:szCs w:val="20"/>
              </w:rPr>
              <w:t xml:space="preserve">Si el SAT muestra una factura cancelada en ese mes, no la incluyas. Las facturas canceladas no se cargan como ingresos.</w:t>
            </w:r>
          </w:p>
        </w:tc>
      </w:tr>
    </w:tbl>
    <w:p>
      <w:pPr>
        <w:spacing w:after="200" w:before="0"/>
      </w:pPr>
      <w:r>
        <w:t xml:space="preserve"/>
      </w:r>
    </w:p>
    <w:p>
      <w:pPr>
        <w:pStyle w:val="Heading2"/>
        <w:spacing w:after="120" w:before="320"/>
      </w:pPr>
      <w:r>
        <w:rPr>
          <w:rFonts w:ascii="Arial" w:cs="Arial" w:eastAsia="Arial" w:hAnsi="Arial"/>
          <w:b/>
          <w:bCs/>
          <w:color w:val="1E3A5F"/>
          <w:sz w:val="26"/>
          <w:szCs w:val="26"/>
        </w:rPr>
        <w:t xml:space="preserve">2.3 Subir egresos y gastos fiscales</w:t>
      </w:r>
    </w:p>
    <w:p>
      <w:pPr>
        <w:spacing w:after="80" w:before="80"/>
      </w:pPr>
      <w:r>
        <w:rPr>
          <w:rFonts w:ascii="Arial" w:cs="Arial" w:eastAsia="Arial" w:hAnsi="Arial"/>
          <w:color w:val="1E293B"/>
          <w:sz w:val="21"/>
          <w:szCs w:val="21"/>
        </w:rPr>
        <w:t xml:space="preserve">Los XMLs de egresos son las facturas que Solmedix recibió de sus proveedores ese mes: medicamentos, servicios, etc.</w:t>
      </w:r>
    </w:p>
    <w:p>
      <w:pPr>
        <w:spacing w:after="10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E3A5F" w:val="clear"/>
            <w:tcMar>
              <w:top w:type="dxa" w:w="80"/>
              <w:left w:type="dxa" w:w="100"/>
              <w:bottom w:type="dxa" w:w="80"/>
              <w:right w:type="dxa" w:w="100"/>
            </w:tcMar>
            <w:vAlign w:val="center"/>
          </w:tcPr>
          <w:p>
            <w:pPr>
              <w:jc w:val="center"/>
            </w:pPr>
            <w:r>
              <w:rPr>
                <w:rFonts w:ascii="Arial" w:cs="Arial" w:eastAsia="Arial" w:hAnsi="Arial"/>
                <w:b/>
                <w:bCs/>
                <w:color w:val="FFFFFF"/>
                <w:sz w:val="26"/>
                <w:szCs w:val="26"/>
              </w:rPr>
              <w:t xml:space="preserve">1</w:t>
            </w:r>
          </w:p>
        </w:tc>
        <w:tc>
          <w:tcPr>
            <w:tcW w:type="dxa" w:w="8660"/>
            <w:tcBorders>
              <w:top w:val="none" w:color="FFFFFF" w:sz="0"/>
              <w:left w:val="none" w:color="FFFFFF" w:sz="0"/>
              <w:bottom w:val="none" w:color="FFFFFF" w:sz="0"/>
              <w:right w:val="none" w:color="FFFFFF" w:sz="0"/>
            </w:tcBorders>
            <w:tcMar>
              <w:top w:type="dxa" w:w="80"/>
              <w:left w:type="dxa" w:w="160"/>
              <w:bottom w:type="dxa" w:w="80"/>
              <w:right w:type="dxa" w:w="100"/>
            </w:tcMar>
          </w:tcPr>
          <w:p>
            <w:r>
              <w:rPr>
                <w:rFonts w:ascii="Arial" w:cs="Arial" w:eastAsia="Arial" w:hAnsi="Arial"/>
                <w:b/>
                <w:bCs/>
                <w:color w:val="1E3A5F"/>
                <w:sz w:val="22"/>
                <w:szCs w:val="22"/>
              </w:rPr>
              <w:t xml:space="preserve">Ir a Egresos / Gastos</w:t>
            </w:r>
          </w:p>
          <w:p>
            <w:r>
              <w:rPr>
                <w:rFonts w:ascii="Arial" w:cs="Arial" w:eastAsia="Arial" w:hAnsi="Arial"/>
                <w:color w:val="1E293B"/>
                <w:sz w:val="20"/>
                <w:szCs w:val="20"/>
              </w:rPr>
              <w:t xml:space="preserve">En el menú de Fiscal haz clic en "Egresos / Gastos".</w:t>
            </w:r>
          </w:p>
        </w:tc>
      </w:tr>
    </w:tbl>
    <w:p>
      <w:pPr>
        <w:spacing w:after="8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E3A5F" w:val="clear"/>
            <w:tcMar>
              <w:top w:type="dxa" w:w="80"/>
              <w:left w:type="dxa" w:w="100"/>
              <w:bottom w:type="dxa" w:w="80"/>
              <w:right w:type="dxa" w:w="100"/>
            </w:tcMar>
            <w:vAlign w:val="center"/>
          </w:tcPr>
          <w:p>
            <w:pPr>
              <w:jc w:val="center"/>
            </w:pPr>
            <w:r>
              <w:rPr>
                <w:rFonts w:ascii="Arial" w:cs="Arial" w:eastAsia="Arial" w:hAnsi="Arial"/>
                <w:b/>
                <w:bCs/>
                <w:color w:val="FFFFFF"/>
                <w:sz w:val="26"/>
                <w:szCs w:val="26"/>
              </w:rPr>
              <w:t xml:space="preserve">2</w:t>
            </w:r>
          </w:p>
        </w:tc>
        <w:tc>
          <w:tcPr>
            <w:tcW w:type="dxa" w:w="8660"/>
            <w:tcBorders>
              <w:top w:val="none" w:color="FFFFFF" w:sz="0"/>
              <w:left w:val="none" w:color="FFFFFF" w:sz="0"/>
              <w:bottom w:val="none" w:color="FFFFFF" w:sz="0"/>
              <w:right w:val="none" w:color="FFFFFF" w:sz="0"/>
            </w:tcBorders>
            <w:tcMar>
              <w:top w:type="dxa" w:w="80"/>
              <w:left w:type="dxa" w:w="160"/>
              <w:bottom w:type="dxa" w:w="80"/>
              <w:right w:type="dxa" w:w="100"/>
            </w:tcMar>
          </w:tcPr>
          <w:p>
            <w:r>
              <w:rPr>
                <w:rFonts w:ascii="Arial" w:cs="Arial" w:eastAsia="Arial" w:hAnsi="Arial"/>
                <w:b/>
                <w:bCs/>
                <w:color w:val="1E3A5F"/>
                <w:sz w:val="22"/>
                <w:szCs w:val="22"/>
              </w:rPr>
              <w:t xml:space="preserve">Subir XMLs de egresos</w:t>
            </w:r>
          </w:p>
          <w:p>
            <w:r>
              <w:rPr>
                <w:rFonts w:ascii="Arial" w:cs="Arial" w:eastAsia="Arial" w:hAnsi="Arial"/>
                <w:color w:val="1E293B"/>
                <w:sz w:val="20"/>
                <w:szCs w:val="20"/>
              </w:rPr>
              <w:t xml:space="preserve">Arrastra todos los XMLs de facturas recibidas de proveedores. Incluye tanto facturas PUE (pago en una sola exhibición) como PPD (pago en parcialidades).</w:t>
            </w:r>
          </w:p>
        </w:tc>
      </w:tr>
    </w:tbl>
    <w:p>
      <w:pPr>
        <w:spacing w:after="8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E3A5F" w:val="clear"/>
            <w:tcMar>
              <w:top w:type="dxa" w:w="80"/>
              <w:left w:type="dxa" w:w="100"/>
              <w:bottom w:type="dxa" w:w="80"/>
              <w:right w:type="dxa" w:w="100"/>
            </w:tcMar>
            <w:vAlign w:val="center"/>
          </w:tcPr>
          <w:p>
            <w:pPr>
              <w:jc w:val="center"/>
            </w:pPr>
            <w:r>
              <w:rPr>
                <w:rFonts w:ascii="Arial" w:cs="Arial" w:eastAsia="Arial" w:hAnsi="Arial"/>
                <w:b/>
                <w:bCs/>
                <w:color w:val="FFFFFF"/>
                <w:sz w:val="26"/>
                <w:szCs w:val="26"/>
              </w:rPr>
              <w:t xml:space="preserve">3</w:t>
            </w:r>
          </w:p>
        </w:tc>
        <w:tc>
          <w:tcPr>
            <w:tcW w:type="dxa" w:w="8660"/>
            <w:tcBorders>
              <w:top w:val="none" w:color="FFFFFF" w:sz="0"/>
              <w:left w:val="none" w:color="FFFFFF" w:sz="0"/>
              <w:bottom w:val="none" w:color="FFFFFF" w:sz="0"/>
              <w:right w:val="none" w:color="FFFFFF" w:sz="0"/>
            </w:tcBorders>
            <w:tcMar>
              <w:top w:type="dxa" w:w="80"/>
              <w:left w:type="dxa" w:w="160"/>
              <w:bottom w:type="dxa" w:w="80"/>
              <w:right w:type="dxa" w:w="100"/>
            </w:tcMar>
          </w:tcPr>
          <w:p>
            <w:r>
              <w:rPr>
                <w:rFonts w:ascii="Arial" w:cs="Arial" w:eastAsia="Arial" w:hAnsi="Arial"/>
                <w:b/>
                <w:bCs/>
                <w:color w:val="1E3A5F"/>
                <w:sz w:val="22"/>
                <w:szCs w:val="22"/>
              </w:rPr>
              <w:t xml:space="preserve">Subir complementos PPD</w:t>
            </w:r>
          </w:p>
          <w:p>
            <w:r>
              <w:rPr>
                <w:rFonts w:ascii="Arial" w:cs="Arial" w:eastAsia="Arial" w:hAnsi="Arial"/>
                <w:color w:val="1E293B"/>
                <w:sz w:val="20"/>
                <w:szCs w:val="20"/>
              </w:rPr>
              <w:t xml:space="preserve">Si tienes complementos de pago de meses anteriores, súbelos también. El sistema los concilia automáticamente con sus facturas base.</w:t>
            </w:r>
          </w:p>
        </w:tc>
      </w:tr>
    </w:tbl>
    <w:p>
      <w:pPr>
        <w:spacing w:after="8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E3A5F" w:val="clear"/>
            <w:tcMar>
              <w:top w:type="dxa" w:w="80"/>
              <w:left w:type="dxa" w:w="100"/>
              <w:bottom w:type="dxa" w:w="80"/>
              <w:right w:type="dxa" w:w="100"/>
            </w:tcMar>
            <w:vAlign w:val="center"/>
          </w:tcPr>
          <w:p>
            <w:pPr>
              <w:jc w:val="center"/>
            </w:pPr>
            <w:r>
              <w:rPr>
                <w:rFonts w:ascii="Arial" w:cs="Arial" w:eastAsia="Arial" w:hAnsi="Arial"/>
                <w:b/>
                <w:bCs/>
                <w:color w:val="FFFFFF"/>
                <w:sz w:val="26"/>
                <w:szCs w:val="26"/>
              </w:rPr>
              <w:t xml:space="preserve">4</w:t>
            </w:r>
          </w:p>
        </w:tc>
        <w:tc>
          <w:tcPr>
            <w:tcW w:type="dxa" w:w="8660"/>
            <w:tcBorders>
              <w:top w:val="none" w:color="FFFFFF" w:sz="0"/>
              <w:left w:val="none" w:color="FFFFFF" w:sz="0"/>
              <w:bottom w:val="none" w:color="FFFFFF" w:sz="0"/>
              <w:right w:val="none" w:color="FFFFFF" w:sz="0"/>
            </w:tcBorders>
            <w:tcMar>
              <w:top w:type="dxa" w:w="80"/>
              <w:left w:type="dxa" w:w="160"/>
              <w:bottom w:type="dxa" w:w="80"/>
              <w:right w:type="dxa" w:w="100"/>
            </w:tcMar>
          </w:tcPr>
          <w:p>
            <w:r>
              <w:rPr>
                <w:rFonts w:ascii="Arial" w:cs="Arial" w:eastAsia="Arial" w:hAnsi="Arial"/>
                <w:b/>
                <w:bCs/>
                <w:color w:val="1E3A5F"/>
                <w:sz w:val="22"/>
                <w:szCs w:val="22"/>
              </w:rPr>
              <w:t xml:space="preserve">Verificar PPD pendientes</w:t>
            </w:r>
          </w:p>
          <w:p>
            <w:r>
              <w:rPr>
                <w:rFonts w:ascii="Arial" w:cs="Arial" w:eastAsia="Arial" w:hAnsi="Arial"/>
                <w:color w:val="1E293B"/>
                <w:sz w:val="20"/>
                <w:szCs w:val="20"/>
              </w:rPr>
              <w:t xml:space="preserve">Haz clic en "PPD Pendientes" para ver qué facturas aún no tienen complemento. Esas NO son deducibles todavía — el contador debe saberlo.</w:t>
            </w:r>
          </w:p>
        </w:tc>
      </w:tr>
    </w:tbl>
    <w:p>
      <w:pPr>
        <w:spacing w:after="16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FEF9C3" w:val="clear"/>
            <w:tcMar>
              <w:top w:type="dxa" w:w="80"/>
              <w:left w:type="dxa" w:w="120"/>
              <w:bottom w:type="dxa" w:w="80"/>
              <w:right w:type="dxa" w:w="60"/>
            </w:tcMar>
            <w:vAlign w:val="center"/>
          </w:tcPr>
          <w:p>
            <w:pPr>
              <w:jc w:val="center"/>
            </w:pPr>
            <w:r>
              <w:rPr>
                <w:rFonts w:ascii="Segoe UI Emoji" w:cs="Segoe UI Emoji" w:eastAsia="Segoe UI Emoji" w:hAnsi="Segoe UI Emoji"/>
                <w:sz w:val="24"/>
                <w:szCs w:val="24"/>
              </w:rPr>
              <w:t xml:space="preserve">⚠️</w:t>
            </w:r>
          </w:p>
        </w:tc>
        <w:tc>
          <w:tcPr>
            <w:tcW w:type="dxa" w:w="8960"/>
            <w:tcBorders>
              <w:top w:val="none" w:color="FFFFFF" w:sz="0"/>
              <w:left w:val="none" w:color="FFFFFF" w:sz="0"/>
              <w:bottom w:val="none" w:color="FFFFFF" w:sz="0"/>
              <w:right w:val="none" w:color="FFFFFF" w:sz="0"/>
            </w:tcBorders>
            <w:shd w:fill="FEF9C3" w:val="clear"/>
            <w:tcMar>
              <w:top w:type="dxa" w:w="80"/>
              <w:left w:type="dxa" w:w="120"/>
              <w:bottom w:type="dxa" w:w="80"/>
              <w:right w:type="dxa" w:w="120"/>
            </w:tcMar>
          </w:tcPr>
          <w:p>
            <w:r>
              <w:rPr>
                <w:rFonts w:ascii="Arial" w:cs="Arial" w:eastAsia="Arial" w:hAnsi="Arial"/>
                <w:color w:val="1E293B"/>
                <w:sz w:val="20"/>
                <w:szCs w:val="20"/>
              </w:rPr>
              <w:t xml:space="preserve">Las facturas PPD sin complemento de pago NO son deducibles en ese período. Solo se vuelven deducibles cuando recibes el complemento del proveedor.</w:t>
            </w:r>
          </w:p>
        </w:tc>
      </w:tr>
    </w:tbl>
    <w:p>
      <w:pPr>
        <w:spacing w:after="200" w:before="0"/>
      </w:pPr>
      <w:r>
        <w:t xml:space="preserve"/>
      </w:r>
    </w:p>
    <w:p>
      <w:r>
        <w:br w:type="page"/>
      </w:r>
    </w:p>
    <w:p>
      <w:pPr>
        <w:pStyle w:val="Heading2"/>
        <w:spacing w:after="120" w:before="320"/>
      </w:pPr>
      <w:r>
        <w:rPr>
          <w:rFonts w:ascii="Arial" w:cs="Arial" w:eastAsia="Arial" w:hAnsi="Arial"/>
          <w:b/>
          <w:bCs/>
          <w:color w:val="1E3A5F"/>
          <w:sz w:val="26"/>
          <w:szCs w:val="26"/>
        </w:rPr>
        <w:t xml:space="preserve">2.4 Conciliación Banco Albo</w:t>
      </w:r>
    </w:p>
    <w:p>
      <w:pPr>
        <w:spacing w:after="80" w:before="80"/>
      </w:pPr>
      <w:r>
        <w:rPr>
          <w:rFonts w:ascii="Arial" w:cs="Arial" w:eastAsia="Arial" w:hAnsi="Arial"/>
          <w:color w:val="1E293B"/>
          <w:sz w:val="21"/>
          <w:szCs w:val="21"/>
        </w:rPr>
        <w:t xml:space="preserve">El CSV de Albo es el estado de cuenta del mes que descargas directamente de la app o portal de Albo.</w:t>
      </w:r>
    </w:p>
    <w:p>
      <w:pPr>
        <w:spacing w:after="10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E3A5F" w:val="clear"/>
            <w:tcMar>
              <w:top w:type="dxa" w:w="80"/>
              <w:left w:type="dxa" w:w="100"/>
              <w:bottom w:type="dxa" w:w="80"/>
              <w:right w:type="dxa" w:w="100"/>
            </w:tcMar>
            <w:vAlign w:val="center"/>
          </w:tcPr>
          <w:p>
            <w:pPr>
              <w:jc w:val="center"/>
            </w:pPr>
            <w:r>
              <w:rPr>
                <w:rFonts w:ascii="Arial" w:cs="Arial" w:eastAsia="Arial" w:hAnsi="Arial"/>
                <w:b/>
                <w:bCs/>
                <w:color w:val="FFFFFF"/>
                <w:sz w:val="26"/>
                <w:szCs w:val="26"/>
              </w:rPr>
              <w:t xml:space="preserve">1</w:t>
            </w:r>
          </w:p>
        </w:tc>
        <w:tc>
          <w:tcPr>
            <w:tcW w:type="dxa" w:w="8660"/>
            <w:tcBorders>
              <w:top w:val="none" w:color="FFFFFF" w:sz="0"/>
              <w:left w:val="none" w:color="FFFFFF" w:sz="0"/>
              <w:bottom w:val="none" w:color="FFFFFF" w:sz="0"/>
              <w:right w:val="none" w:color="FFFFFF" w:sz="0"/>
            </w:tcBorders>
            <w:tcMar>
              <w:top w:type="dxa" w:w="80"/>
              <w:left w:type="dxa" w:w="160"/>
              <w:bottom w:type="dxa" w:w="80"/>
              <w:right w:type="dxa" w:w="100"/>
            </w:tcMar>
          </w:tcPr>
          <w:p>
            <w:r>
              <w:rPr>
                <w:rFonts w:ascii="Arial" w:cs="Arial" w:eastAsia="Arial" w:hAnsi="Arial"/>
                <w:b/>
                <w:bCs/>
                <w:color w:val="1E3A5F"/>
                <w:sz w:val="22"/>
                <w:szCs w:val="22"/>
              </w:rPr>
              <w:t xml:space="preserve">Ir a Banco Albo</w:t>
            </w:r>
          </w:p>
          <w:p>
            <w:r>
              <w:rPr>
                <w:rFonts w:ascii="Arial" w:cs="Arial" w:eastAsia="Arial" w:hAnsi="Arial"/>
                <w:color w:val="1E293B"/>
                <w:sz w:val="20"/>
                <w:szCs w:val="20"/>
              </w:rPr>
              <w:t xml:space="preserve">En el menú de Fiscal haz clic en "Banco Albo".</w:t>
            </w:r>
          </w:p>
        </w:tc>
      </w:tr>
    </w:tbl>
    <w:p>
      <w:pPr>
        <w:spacing w:after="8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E3A5F" w:val="clear"/>
            <w:tcMar>
              <w:top w:type="dxa" w:w="80"/>
              <w:left w:type="dxa" w:w="100"/>
              <w:bottom w:type="dxa" w:w="80"/>
              <w:right w:type="dxa" w:w="100"/>
            </w:tcMar>
            <w:vAlign w:val="center"/>
          </w:tcPr>
          <w:p>
            <w:pPr>
              <w:jc w:val="center"/>
            </w:pPr>
            <w:r>
              <w:rPr>
                <w:rFonts w:ascii="Arial" w:cs="Arial" w:eastAsia="Arial" w:hAnsi="Arial"/>
                <w:b/>
                <w:bCs/>
                <w:color w:val="FFFFFF"/>
                <w:sz w:val="26"/>
                <w:szCs w:val="26"/>
              </w:rPr>
              <w:t xml:space="preserve">2</w:t>
            </w:r>
          </w:p>
        </w:tc>
        <w:tc>
          <w:tcPr>
            <w:tcW w:type="dxa" w:w="8660"/>
            <w:tcBorders>
              <w:top w:val="none" w:color="FFFFFF" w:sz="0"/>
              <w:left w:val="none" w:color="FFFFFF" w:sz="0"/>
              <w:bottom w:val="none" w:color="FFFFFF" w:sz="0"/>
              <w:right w:val="none" w:color="FFFFFF" w:sz="0"/>
            </w:tcBorders>
            <w:tcMar>
              <w:top w:type="dxa" w:w="80"/>
              <w:left w:type="dxa" w:w="160"/>
              <w:bottom w:type="dxa" w:w="80"/>
              <w:right w:type="dxa" w:w="100"/>
            </w:tcMar>
          </w:tcPr>
          <w:p>
            <w:r>
              <w:rPr>
                <w:rFonts w:ascii="Arial" w:cs="Arial" w:eastAsia="Arial" w:hAnsi="Arial"/>
                <w:b/>
                <w:bCs/>
                <w:color w:val="1E3A5F"/>
                <w:sz w:val="22"/>
                <w:szCs w:val="22"/>
              </w:rPr>
              <w:t xml:space="preserve">Descargar CSV de Albo</w:t>
            </w:r>
          </w:p>
          <w:p>
            <w:r>
              <w:rPr>
                <w:rFonts w:ascii="Arial" w:cs="Arial" w:eastAsia="Arial" w:hAnsi="Arial"/>
                <w:color w:val="1E293B"/>
                <w:sz w:val="20"/>
                <w:szCs w:val="20"/>
              </w:rPr>
              <w:t xml:space="preserve">En la app de Albo: Movimientos → Filtrar por el mes → Exportar CSV. El archivo se llama ConsultaMovimientos-YYYYMMDD-YYYYMMDD.csv</w:t>
            </w:r>
          </w:p>
        </w:tc>
      </w:tr>
    </w:tbl>
    <w:p>
      <w:pPr>
        <w:spacing w:after="8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E3A5F" w:val="clear"/>
            <w:tcMar>
              <w:top w:type="dxa" w:w="80"/>
              <w:left w:type="dxa" w:w="100"/>
              <w:bottom w:type="dxa" w:w="80"/>
              <w:right w:type="dxa" w:w="100"/>
            </w:tcMar>
            <w:vAlign w:val="center"/>
          </w:tcPr>
          <w:p>
            <w:pPr>
              <w:jc w:val="center"/>
            </w:pPr>
            <w:r>
              <w:rPr>
                <w:rFonts w:ascii="Arial" w:cs="Arial" w:eastAsia="Arial" w:hAnsi="Arial"/>
                <w:b/>
                <w:bCs/>
                <w:color w:val="FFFFFF"/>
                <w:sz w:val="26"/>
                <w:szCs w:val="26"/>
              </w:rPr>
              <w:t xml:space="preserve">3</w:t>
            </w:r>
          </w:p>
        </w:tc>
        <w:tc>
          <w:tcPr>
            <w:tcW w:type="dxa" w:w="8660"/>
            <w:tcBorders>
              <w:top w:val="none" w:color="FFFFFF" w:sz="0"/>
              <w:left w:val="none" w:color="FFFFFF" w:sz="0"/>
              <w:bottom w:val="none" w:color="FFFFFF" w:sz="0"/>
              <w:right w:val="none" w:color="FFFFFF" w:sz="0"/>
            </w:tcBorders>
            <w:tcMar>
              <w:top w:type="dxa" w:w="80"/>
              <w:left w:type="dxa" w:w="160"/>
              <w:bottom w:type="dxa" w:w="80"/>
              <w:right w:type="dxa" w:w="100"/>
            </w:tcMar>
          </w:tcPr>
          <w:p>
            <w:r>
              <w:rPr>
                <w:rFonts w:ascii="Arial" w:cs="Arial" w:eastAsia="Arial" w:hAnsi="Arial"/>
                <w:b/>
                <w:bCs/>
                <w:color w:val="1E3A5F"/>
                <w:sz w:val="22"/>
                <w:szCs w:val="22"/>
              </w:rPr>
              <w:t xml:space="preserve">Subir el CSV</w:t>
            </w:r>
          </w:p>
          <w:p>
            <w:r>
              <w:rPr>
                <w:rFonts w:ascii="Arial" w:cs="Arial" w:eastAsia="Arial" w:hAnsi="Arial"/>
                <w:color w:val="1E293B"/>
                <w:sz w:val="20"/>
                <w:szCs w:val="20"/>
              </w:rPr>
              <w:t xml:space="preserve">Arrastra el archivo CSV al área de carga. El sistema procesa automáticamente todos los movimientos.</w:t>
            </w:r>
          </w:p>
        </w:tc>
      </w:tr>
    </w:tbl>
    <w:p>
      <w:pPr>
        <w:spacing w:after="8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E3A5F" w:val="clear"/>
            <w:tcMar>
              <w:top w:type="dxa" w:w="80"/>
              <w:left w:type="dxa" w:w="100"/>
              <w:bottom w:type="dxa" w:w="80"/>
              <w:right w:type="dxa" w:w="100"/>
            </w:tcMar>
            <w:vAlign w:val="center"/>
          </w:tcPr>
          <w:p>
            <w:pPr>
              <w:jc w:val="center"/>
            </w:pPr>
            <w:r>
              <w:rPr>
                <w:rFonts w:ascii="Arial" w:cs="Arial" w:eastAsia="Arial" w:hAnsi="Arial"/>
                <w:b/>
                <w:bCs/>
                <w:color w:val="FFFFFF"/>
                <w:sz w:val="26"/>
                <w:szCs w:val="26"/>
              </w:rPr>
              <w:t xml:space="preserve">4</w:t>
            </w:r>
          </w:p>
        </w:tc>
        <w:tc>
          <w:tcPr>
            <w:tcW w:type="dxa" w:w="8660"/>
            <w:tcBorders>
              <w:top w:val="none" w:color="FFFFFF" w:sz="0"/>
              <w:left w:val="none" w:color="FFFFFF" w:sz="0"/>
              <w:bottom w:val="none" w:color="FFFFFF" w:sz="0"/>
              <w:right w:val="none" w:color="FFFFFF" w:sz="0"/>
            </w:tcBorders>
            <w:tcMar>
              <w:top w:type="dxa" w:w="80"/>
              <w:left w:type="dxa" w:w="160"/>
              <w:bottom w:type="dxa" w:w="80"/>
              <w:right w:type="dxa" w:w="100"/>
            </w:tcMar>
          </w:tcPr>
          <w:p>
            <w:r>
              <w:rPr>
                <w:rFonts w:ascii="Arial" w:cs="Arial" w:eastAsia="Arial" w:hAnsi="Arial"/>
                <w:b/>
                <w:bCs/>
                <w:color w:val="1E3A5F"/>
                <w:sz w:val="22"/>
                <w:szCs w:val="22"/>
              </w:rPr>
              <w:t xml:space="preserve">Revisar el Cuadre Global</w:t>
            </w:r>
          </w:p>
          <w:p>
            <w:r>
              <w:rPr>
                <w:rFonts w:ascii="Arial" w:cs="Arial" w:eastAsia="Arial" w:hAnsi="Arial"/>
                <w:color w:val="1E293B"/>
                <w:sz w:val="20"/>
                <w:szCs w:val="20"/>
              </w:rPr>
              <w:t xml:space="preserve">Aparece un panel que compara Total depósitos en Albo vs Total facturas CFDI emitidas. Debe decir "✅ Cuadrado". Si hay diferencia, lee el diagnóstico que muestra el sistema y anota la explicación para enviársela al contador.</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Estado del cuadre</w:t>
            </w:r>
          </w:p>
        </w:tc>
        <w:tc>
          <w:tcPr>
            <w:tcW w:type="dxa" w:w="312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Qué significa</w:t>
            </w:r>
          </w:p>
        </w:tc>
        <w:tc>
          <w:tcPr>
            <w:tcW w:type="dxa" w:w="312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Qué hacer</w:t>
            </w:r>
          </w:p>
        </w:tc>
      </w:tr>
      <w:tr>
        <w:tc>
          <w:tcPr>
            <w:tcW w:type="dxa" w:w="312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 Cuadrado</w:t>
            </w:r>
          </w:p>
        </w:tc>
        <w:tc>
          <w:tcPr>
            <w:tcW w:type="dxa" w:w="312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Albo y CFDI coinciden</w:t>
            </w:r>
          </w:p>
        </w:tc>
        <w:tc>
          <w:tcPr>
            <w:tcW w:type="dxa" w:w="312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Continúa normalmente</w:t>
            </w:r>
          </w:p>
        </w:tc>
      </w:tr>
      <w:tr>
        <w:tc>
          <w:tcPr>
            <w:tcW w:type="dxa" w:w="312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 Diferencia menor (&lt;$500)</w:t>
            </w:r>
          </w:p>
        </w:tc>
        <w:tc>
          <w:tcPr>
            <w:tcW w:type="dxa" w:w="312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Posible redondeo o comisión</w:t>
            </w:r>
          </w:p>
        </w:tc>
        <w:tc>
          <w:tcPr>
            <w:tcW w:type="dxa" w:w="312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Anota y menciónaselo al contador</w:t>
            </w:r>
          </w:p>
        </w:tc>
      </w:tr>
      <w:tr>
        <w:tc>
          <w:tcPr>
            <w:tcW w:type="dxa" w:w="312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 Revisar</w:t>
            </w:r>
          </w:p>
        </w:tc>
        <w:tc>
          <w:tcPr>
            <w:tcW w:type="dxa" w:w="312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Diferencia significativa</w:t>
            </w:r>
          </w:p>
        </w:tc>
        <w:tc>
          <w:tcPr>
            <w:tcW w:type="dxa" w:w="312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Investiga antes de enviar al contador</w:t>
            </w:r>
          </w:p>
        </w:tc>
      </w:tr>
    </w:tbl>
    <w:p>
      <w:pPr>
        <w:spacing w:after="200" w:before="0"/>
      </w:pPr>
      <w:r>
        <w:t xml:space="preserve"/>
      </w:r>
    </w:p>
    <w:p>
      <w:pPr>
        <w:pStyle w:val="Heading2"/>
        <w:spacing w:after="120" w:before="320"/>
      </w:pPr>
      <w:r>
        <w:rPr>
          <w:rFonts w:ascii="Arial" w:cs="Arial" w:eastAsia="Arial" w:hAnsi="Arial"/>
          <w:b/>
          <w:bCs/>
          <w:color w:val="1E3A5F"/>
          <w:sz w:val="26"/>
          <w:szCs w:val="26"/>
        </w:rPr>
        <w:t xml:space="preserve">2.5 Generar el paquete para el contador</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E3A5F" w:val="clear"/>
            <w:tcMar>
              <w:top w:type="dxa" w:w="80"/>
              <w:left w:type="dxa" w:w="100"/>
              <w:bottom w:type="dxa" w:w="80"/>
              <w:right w:type="dxa" w:w="100"/>
            </w:tcMar>
            <w:vAlign w:val="center"/>
          </w:tcPr>
          <w:p>
            <w:pPr>
              <w:jc w:val="center"/>
            </w:pPr>
            <w:r>
              <w:rPr>
                <w:rFonts w:ascii="Arial" w:cs="Arial" w:eastAsia="Arial" w:hAnsi="Arial"/>
                <w:b/>
                <w:bCs/>
                <w:color w:val="FFFFFF"/>
                <w:sz w:val="26"/>
                <w:szCs w:val="26"/>
              </w:rPr>
              <w:t xml:space="preserve">1</w:t>
            </w:r>
          </w:p>
        </w:tc>
        <w:tc>
          <w:tcPr>
            <w:tcW w:type="dxa" w:w="8660"/>
            <w:tcBorders>
              <w:top w:val="none" w:color="FFFFFF" w:sz="0"/>
              <w:left w:val="none" w:color="FFFFFF" w:sz="0"/>
              <w:bottom w:val="none" w:color="FFFFFF" w:sz="0"/>
              <w:right w:val="none" w:color="FFFFFF" w:sz="0"/>
            </w:tcBorders>
            <w:tcMar>
              <w:top w:type="dxa" w:w="80"/>
              <w:left w:type="dxa" w:w="160"/>
              <w:bottom w:type="dxa" w:w="80"/>
              <w:right w:type="dxa" w:w="100"/>
            </w:tcMar>
          </w:tcPr>
          <w:p>
            <w:r>
              <w:rPr>
                <w:rFonts w:ascii="Arial" w:cs="Arial" w:eastAsia="Arial" w:hAnsi="Arial"/>
                <w:b/>
                <w:bCs/>
                <w:color w:val="1E3A5F"/>
                <w:sz w:val="22"/>
                <w:szCs w:val="22"/>
              </w:rPr>
              <w:t xml:space="preserve">Ir a Reporte Contador</w:t>
            </w:r>
          </w:p>
          <w:p>
            <w:r>
              <w:rPr>
                <w:rFonts w:ascii="Arial" w:cs="Arial" w:eastAsia="Arial" w:hAnsi="Arial"/>
                <w:color w:val="1E293B"/>
                <w:sz w:val="20"/>
                <w:szCs w:val="20"/>
              </w:rPr>
              <w:t xml:space="preserve">En el menú de Fiscal haz clic en "Reporte Contador".</w:t>
            </w:r>
          </w:p>
        </w:tc>
      </w:tr>
    </w:tbl>
    <w:p>
      <w:pPr>
        <w:spacing w:after="8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E3A5F" w:val="clear"/>
            <w:tcMar>
              <w:top w:type="dxa" w:w="80"/>
              <w:left w:type="dxa" w:w="100"/>
              <w:bottom w:type="dxa" w:w="80"/>
              <w:right w:type="dxa" w:w="100"/>
            </w:tcMar>
            <w:vAlign w:val="center"/>
          </w:tcPr>
          <w:p>
            <w:pPr>
              <w:jc w:val="center"/>
            </w:pPr>
            <w:r>
              <w:rPr>
                <w:rFonts w:ascii="Arial" w:cs="Arial" w:eastAsia="Arial" w:hAnsi="Arial"/>
                <w:b/>
                <w:bCs/>
                <w:color w:val="FFFFFF"/>
                <w:sz w:val="26"/>
                <w:szCs w:val="26"/>
              </w:rPr>
              <w:t xml:space="preserve">2</w:t>
            </w:r>
          </w:p>
        </w:tc>
        <w:tc>
          <w:tcPr>
            <w:tcW w:type="dxa" w:w="8660"/>
            <w:tcBorders>
              <w:top w:val="none" w:color="FFFFFF" w:sz="0"/>
              <w:left w:val="none" w:color="FFFFFF" w:sz="0"/>
              <w:bottom w:val="none" w:color="FFFFFF" w:sz="0"/>
              <w:right w:val="none" w:color="FFFFFF" w:sz="0"/>
            </w:tcBorders>
            <w:tcMar>
              <w:top w:type="dxa" w:w="80"/>
              <w:left w:type="dxa" w:w="160"/>
              <w:bottom w:type="dxa" w:w="80"/>
              <w:right w:type="dxa" w:w="100"/>
            </w:tcMar>
          </w:tcPr>
          <w:p>
            <w:r>
              <w:rPr>
                <w:rFonts w:ascii="Arial" w:cs="Arial" w:eastAsia="Arial" w:hAnsi="Arial"/>
                <w:b/>
                <w:bCs/>
                <w:color w:val="1E3A5F"/>
                <w:sz w:val="22"/>
                <w:szCs w:val="22"/>
              </w:rPr>
              <w:t xml:space="preserve">Generar el ZIP</w:t>
            </w:r>
          </w:p>
          <w:p>
            <w:r>
              <w:rPr>
                <w:rFonts w:ascii="Arial" w:cs="Arial" w:eastAsia="Arial" w:hAnsi="Arial"/>
                <w:color w:val="1E293B"/>
                <w:sz w:val="20"/>
                <w:szCs w:val="20"/>
              </w:rPr>
              <w:t xml:space="preserve">Haz clic en el botón "📦 Paquete ZIP contador". El sistema genera y descarga automáticamente un archivo llamado Solmedix_Paquete_Contador_AAAA-MM.zip</w:t>
            </w:r>
          </w:p>
        </w:tc>
      </w:tr>
    </w:tbl>
    <w:p>
      <w:pPr>
        <w:spacing w:after="8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E3A5F" w:val="clear"/>
            <w:tcMar>
              <w:top w:type="dxa" w:w="80"/>
              <w:left w:type="dxa" w:w="100"/>
              <w:bottom w:type="dxa" w:w="80"/>
              <w:right w:type="dxa" w:w="100"/>
            </w:tcMar>
            <w:vAlign w:val="center"/>
          </w:tcPr>
          <w:p>
            <w:pPr>
              <w:jc w:val="center"/>
            </w:pPr>
            <w:r>
              <w:rPr>
                <w:rFonts w:ascii="Arial" w:cs="Arial" w:eastAsia="Arial" w:hAnsi="Arial"/>
                <w:b/>
                <w:bCs/>
                <w:color w:val="FFFFFF"/>
                <w:sz w:val="26"/>
                <w:szCs w:val="26"/>
              </w:rPr>
              <w:t xml:space="preserve">3</w:t>
            </w:r>
          </w:p>
        </w:tc>
        <w:tc>
          <w:tcPr>
            <w:tcW w:type="dxa" w:w="8660"/>
            <w:tcBorders>
              <w:top w:val="none" w:color="FFFFFF" w:sz="0"/>
              <w:left w:val="none" w:color="FFFFFF" w:sz="0"/>
              <w:bottom w:val="none" w:color="FFFFFF" w:sz="0"/>
              <w:right w:val="none" w:color="FFFFFF" w:sz="0"/>
            </w:tcBorders>
            <w:tcMar>
              <w:top w:type="dxa" w:w="80"/>
              <w:left w:type="dxa" w:w="160"/>
              <w:bottom w:type="dxa" w:w="80"/>
              <w:right w:type="dxa" w:w="100"/>
            </w:tcMar>
          </w:tcPr>
          <w:p>
            <w:r>
              <w:rPr>
                <w:rFonts w:ascii="Arial" w:cs="Arial" w:eastAsia="Arial" w:hAnsi="Arial"/>
                <w:b/>
                <w:bCs/>
                <w:color w:val="1E3A5F"/>
                <w:sz w:val="22"/>
                <w:szCs w:val="22"/>
              </w:rPr>
              <w:t xml:space="preserve">Enviar al contador</w:t>
            </w:r>
          </w:p>
          <w:p>
            <w:r>
              <w:rPr>
                <w:rFonts w:ascii="Arial" w:cs="Arial" w:eastAsia="Arial" w:hAnsi="Arial"/>
                <w:color w:val="1E293B"/>
                <w:sz w:val="20"/>
                <w:szCs w:val="20"/>
              </w:rPr>
              <w:t xml:space="preserve">Envía el archivo ZIP al contador por correo o WhatsApp. El ZIP contiene todo lo que necesita.</w:t>
            </w:r>
          </w:p>
        </w:tc>
      </w:tr>
    </w:tbl>
    <w:p>
      <w:pPr>
        <w:spacing w:after="16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F0FDF4" w:val="clear"/>
            <w:tcMar>
              <w:top w:type="dxa" w:w="80"/>
              <w:left w:type="dxa" w:w="120"/>
              <w:bottom w:type="dxa" w:w="80"/>
              <w:right w:type="dxa" w:w="60"/>
            </w:tcMar>
            <w:vAlign w:val="center"/>
          </w:tcPr>
          <w:p>
            <w:pPr>
              <w:jc w:val="center"/>
            </w:pPr>
            <w:r>
              <w:rPr>
                <w:rFonts w:ascii="Segoe UI Emoji" w:cs="Segoe UI Emoji" w:eastAsia="Segoe UI Emoji" w:hAnsi="Segoe UI Emoji"/>
                <w:sz w:val="24"/>
                <w:szCs w:val="24"/>
              </w:rPr>
              <w:t xml:space="preserve">📦</w:t>
            </w:r>
          </w:p>
        </w:tc>
        <w:tc>
          <w:tcPr>
            <w:tcW w:type="dxa" w:w="8960"/>
            <w:tcBorders>
              <w:top w:val="none" w:color="FFFFFF" w:sz="0"/>
              <w:left w:val="none" w:color="FFFFFF" w:sz="0"/>
              <w:bottom w:val="none" w:color="FFFFFF" w:sz="0"/>
              <w:right w:val="none" w:color="FFFFFF" w:sz="0"/>
            </w:tcBorders>
            <w:shd w:fill="F0FDF4" w:val="clear"/>
            <w:tcMar>
              <w:top w:type="dxa" w:w="80"/>
              <w:left w:type="dxa" w:w="120"/>
              <w:bottom w:type="dxa" w:w="80"/>
              <w:right w:type="dxa" w:w="120"/>
            </w:tcMar>
          </w:tcPr>
          <w:p>
            <w:r>
              <w:rPr>
                <w:rFonts w:ascii="Arial" w:cs="Arial" w:eastAsia="Arial" w:hAnsi="Arial"/>
                <w:color w:val="1E293B"/>
                <w:sz w:val="20"/>
                <w:szCs w:val="20"/>
              </w:rPr>
              <w:t xml:space="preserve">El ZIP contiene: (1) Reporte_Fiscal.xlsx con 5 hojas — Ingresos CFDI, Egresos, PPD Pendientes, DIOT y Resumen, (2) DIOT_SSM180928AQ7.txt para cargar al portal SAT, (3) Resumen_Contador.txt con todos los datos clave del período.</w:t>
            </w:r>
          </w:p>
        </w:tc>
      </w:tr>
    </w:tbl>
    <w:p>
      <w:pPr>
        <w:spacing w:after="200" w:before="0"/>
      </w:pPr>
      <w:r>
        <w:t xml:space="preserve"/>
      </w:r>
    </w:p>
    <w:p>
      <w:r>
        <w:br w:type="page"/>
      </w:r>
    </w:p>
    <w:p>
      <w:pPr>
        <w:pStyle w:val="Heading1"/>
        <w:pBdr>
          <w:bottom w:val="single" w:color="1E3A5F" w:sz="8" w:space="6"/>
        </w:pBdr>
        <w:spacing w:after="160" w:before="400"/>
      </w:pPr>
      <w:r>
        <w:rPr>
          <w:rFonts w:ascii="Arial" w:cs="Arial" w:eastAsia="Arial" w:hAnsi="Arial"/>
          <w:b/>
          <w:bCs/>
          <w:color w:val="1E3A5F"/>
          <w:sz w:val="32"/>
          <w:szCs w:val="32"/>
        </w:rPr>
        <w:t xml:space="preserve">3. Presentación — Lo que hace el Contador</w:t>
      </w:r>
    </w:p>
    <w:p>
      <w:pPr>
        <w:spacing w:after="80" w:before="80"/>
      </w:pPr>
      <w:r>
        <w:rPr>
          <w:rFonts w:ascii="Arial" w:cs="Arial" w:eastAsia="Arial" w:hAnsi="Arial"/>
          <w:color w:val="1E293B"/>
          <w:sz w:val="21"/>
          <w:szCs w:val="21"/>
        </w:rPr>
        <w:t xml:space="preserve">Con el paquete ZIP que recibe, el contador realiza estos pasos en el portal del SAT. Este proceso no requiere ninguna acción de tu parte.</w:t>
      </w:r>
    </w:p>
    <w:p>
      <w:pPr>
        <w:spacing w:after="16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E3A5F" w:val="clear"/>
            <w:tcMar>
              <w:top w:type="dxa" w:w="80"/>
              <w:left w:type="dxa" w:w="100"/>
              <w:bottom w:type="dxa" w:w="80"/>
              <w:right w:type="dxa" w:w="100"/>
            </w:tcMar>
            <w:vAlign w:val="center"/>
          </w:tcPr>
          <w:p>
            <w:pPr>
              <w:jc w:val="center"/>
            </w:pPr>
            <w:r>
              <w:rPr>
                <w:rFonts w:ascii="Arial" w:cs="Arial" w:eastAsia="Arial" w:hAnsi="Arial"/>
                <w:b/>
                <w:bCs/>
                <w:color w:val="FFFFFF"/>
                <w:sz w:val="26"/>
                <w:szCs w:val="26"/>
              </w:rPr>
              <w:t xml:space="preserve">1</w:t>
            </w:r>
          </w:p>
        </w:tc>
        <w:tc>
          <w:tcPr>
            <w:tcW w:type="dxa" w:w="8660"/>
            <w:tcBorders>
              <w:top w:val="none" w:color="FFFFFF" w:sz="0"/>
              <w:left w:val="none" w:color="FFFFFF" w:sz="0"/>
              <w:bottom w:val="none" w:color="FFFFFF" w:sz="0"/>
              <w:right w:val="none" w:color="FFFFFF" w:sz="0"/>
            </w:tcBorders>
            <w:tcMar>
              <w:top w:type="dxa" w:w="80"/>
              <w:left w:type="dxa" w:w="160"/>
              <w:bottom w:type="dxa" w:w="80"/>
              <w:right w:type="dxa" w:w="100"/>
            </w:tcMar>
          </w:tcPr>
          <w:p>
            <w:r>
              <w:rPr>
                <w:rFonts w:ascii="Arial" w:cs="Arial" w:eastAsia="Arial" w:hAnsi="Arial"/>
                <w:b/>
                <w:bCs/>
                <w:color w:val="1E3A5F"/>
                <w:sz w:val="22"/>
                <w:szCs w:val="22"/>
              </w:rPr>
              <w:t xml:space="preserve">Revisar el Excel</w:t>
            </w:r>
          </w:p>
          <w:p>
            <w:r>
              <w:rPr>
                <w:rFonts w:ascii="Arial" w:cs="Arial" w:eastAsia="Arial" w:hAnsi="Arial"/>
                <w:color w:val="1E293B"/>
                <w:sz w:val="20"/>
                <w:szCs w:val="20"/>
              </w:rPr>
              <w:t xml:space="preserve">El contador abre Reporte_Fiscal.xlsx y verifica los totales de ingresos, egresos y la DIOT.</w:t>
            </w:r>
          </w:p>
        </w:tc>
      </w:tr>
    </w:tbl>
    <w:p>
      <w:pPr>
        <w:spacing w:after="8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E3A5F" w:val="clear"/>
            <w:tcMar>
              <w:top w:type="dxa" w:w="80"/>
              <w:left w:type="dxa" w:w="100"/>
              <w:bottom w:type="dxa" w:w="80"/>
              <w:right w:type="dxa" w:w="100"/>
            </w:tcMar>
            <w:vAlign w:val="center"/>
          </w:tcPr>
          <w:p>
            <w:pPr>
              <w:jc w:val="center"/>
            </w:pPr>
            <w:r>
              <w:rPr>
                <w:rFonts w:ascii="Arial" w:cs="Arial" w:eastAsia="Arial" w:hAnsi="Arial"/>
                <w:b/>
                <w:bCs/>
                <w:color w:val="FFFFFF"/>
                <w:sz w:val="26"/>
                <w:szCs w:val="26"/>
              </w:rPr>
              <w:t xml:space="preserve">2</w:t>
            </w:r>
          </w:p>
        </w:tc>
        <w:tc>
          <w:tcPr>
            <w:tcW w:type="dxa" w:w="8660"/>
            <w:tcBorders>
              <w:top w:val="none" w:color="FFFFFF" w:sz="0"/>
              <w:left w:val="none" w:color="FFFFFF" w:sz="0"/>
              <w:bottom w:val="none" w:color="FFFFFF" w:sz="0"/>
              <w:right w:val="none" w:color="FFFFFF" w:sz="0"/>
            </w:tcBorders>
            <w:tcMar>
              <w:top w:type="dxa" w:w="80"/>
              <w:left w:type="dxa" w:w="160"/>
              <w:bottom w:type="dxa" w:w="80"/>
              <w:right w:type="dxa" w:w="100"/>
            </w:tcMar>
          </w:tcPr>
          <w:p>
            <w:r>
              <w:rPr>
                <w:rFonts w:ascii="Arial" w:cs="Arial" w:eastAsia="Arial" w:hAnsi="Arial"/>
                <w:b/>
                <w:bCs/>
                <w:color w:val="1E3A5F"/>
                <w:sz w:val="22"/>
                <w:szCs w:val="22"/>
              </w:rPr>
              <w:t xml:space="preserve">Calcular IVA acreditable real</w:t>
            </w:r>
          </w:p>
          <w:p>
            <w:r>
              <w:rPr>
                <w:rFonts w:ascii="Arial" w:cs="Arial" w:eastAsia="Arial" w:hAnsi="Arial"/>
                <w:color w:val="1E293B"/>
                <w:sz w:val="20"/>
                <w:szCs w:val="20"/>
              </w:rPr>
              <w:t xml:space="preserve">El contador calcula el IVA acreditable efectivo aplicando el prorrateo que establece el Art. 5 de la LIVA (solo el sistema del SAT hace este cálculo definitivo).</w:t>
            </w:r>
          </w:p>
        </w:tc>
      </w:tr>
    </w:tbl>
    <w:p>
      <w:pPr>
        <w:spacing w:after="8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E3A5F" w:val="clear"/>
            <w:tcMar>
              <w:top w:type="dxa" w:w="80"/>
              <w:left w:type="dxa" w:w="100"/>
              <w:bottom w:type="dxa" w:w="80"/>
              <w:right w:type="dxa" w:w="100"/>
            </w:tcMar>
            <w:vAlign w:val="center"/>
          </w:tcPr>
          <w:p>
            <w:pPr>
              <w:jc w:val="center"/>
            </w:pPr>
            <w:r>
              <w:rPr>
                <w:rFonts w:ascii="Arial" w:cs="Arial" w:eastAsia="Arial" w:hAnsi="Arial"/>
                <w:b/>
                <w:bCs/>
                <w:color w:val="FFFFFF"/>
                <w:sz w:val="26"/>
                <w:szCs w:val="26"/>
              </w:rPr>
              <w:t xml:space="preserve">3</w:t>
            </w:r>
          </w:p>
        </w:tc>
        <w:tc>
          <w:tcPr>
            <w:tcW w:type="dxa" w:w="8660"/>
            <w:tcBorders>
              <w:top w:val="none" w:color="FFFFFF" w:sz="0"/>
              <w:left w:val="none" w:color="FFFFFF" w:sz="0"/>
              <w:bottom w:val="none" w:color="FFFFFF" w:sz="0"/>
              <w:right w:val="none" w:color="FFFFFF" w:sz="0"/>
            </w:tcBorders>
            <w:tcMar>
              <w:top w:type="dxa" w:w="80"/>
              <w:left w:type="dxa" w:w="160"/>
              <w:bottom w:type="dxa" w:w="80"/>
              <w:right w:type="dxa" w:w="100"/>
            </w:tcMar>
          </w:tcPr>
          <w:p>
            <w:r>
              <w:rPr>
                <w:rFonts w:ascii="Arial" w:cs="Arial" w:eastAsia="Arial" w:hAnsi="Arial"/>
                <w:b/>
                <w:bCs/>
                <w:color w:val="1E3A5F"/>
                <w:sz w:val="22"/>
                <w:szCs w:val="22"/>
              </w:rPr>
              <w:t xml:space="preserve">Presentar declaración mensual</w:t>
            </w:r>
          </w:p>
          <w:p>
            <w:r>
              <w:rPr>
                <w:rFonts w:ascii="Arial" w:cs="Arial" w:eastAsia="Arial" w:hAnsi="Arial"/>
                <w:color w:val="1E293B"/>
                <w:sz w:val="20"/>
                <w:szCs w:val="20"/>
              </w:rPr>
              <w:t xml:space="preserve">El contador entra al portal del SAT con su FIEL, captura los datos y presenta la declaración de ISR e IVA.</w:t>
            </w:r>
          </w:p>
        </w:tc>
      </w:tr>
    </w:tbl>
    <w:p>
      <w:pPr>
        <w:spacing w:after="8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E3A5F" w:val="clear"/>
            <w:tcMar>
              <w:top w:type="dxa" w:w="80"/>
              <w:left w:type="dxa" w:w="100"/>
              <w:bottom w:type="dxa" w:w="80"/>
              <w:right w:type="dxa" w:w="100"/>
            </w:tcMar>
            <w:vAlign w:val="center"/>
          </w:tcPr>
          <w:p>
            <w:pPr>
              <w:jc w:val="center"/>
            </w:pPr>
            <w:r>
              <w:rPr>
                <w:rFonts w:ascii="Arial" w:cs="Arial" w:eastAsia="Arial" w:hAnsi="Arial"/>
                <w:b/>
                <w:bCs/>
                <w:color w:val="FFFFFF"/>
                <w:sz w:val="26"/>
                <w:szCs w:val="26"/>
              </w:rPr>
              <w:t xml:space="preserve">4</w:t>
            </w:r>
          </w:p>
        </w:tc>
        <w:tc>
          <w:tcPr>
            <w:tcW w:type="dxa" w:w="8660"/>
            <w:tcBorders>
              <w:top w:val="none" w:color="FFFFFF" w:sz="0"/>
              <w:left w:val="none" w:color="FFFFFF" w:sz="0"/>
              <w:bottom w:val="none" w:color="FFFFFF" w:sz="0"/>
              <w:right w:val="none" w:color="FFFFFF" w:sz="0"/>
            </w:tcBorders>
            <w:tcMar>
              <w:top w:type="dxa" w:w="80"/>
              <w:left w:type="dxa" w:w="160"/>
              <w:bottom w:type="dxa" w:w="80"/>
              <w:right w:type="dxa" w:w="100"/>
            </w:tcMar>
          </w:tcPr>
          <w:p>
            <w:r>
              <w:rPr>
                <w:rFonts w:ascii="Arial" w:cs="Arial" w:eastAsia="Arial" w:hAnsi="Arial"/>
                <w:b/>
                <w:bCs/>
                <w:color w:val="1E3A5F"/>
                <w:sz w:val="22"/>
                <w:szCs w:val="22"/>
              </w:rPr>
              <w:t xml:space="preserve">Cargar la DIOT</w:t>
            </w:r>
          </w:p>
          <w:p>
            <w:r>
              <w:rPr>
                <w:rFonts w:ascii="Arial" w:cs="Arial" w:eastAsia="Arial" w:hAnsi="Arial"/>
                <w:color w:val="1E293B"/>
                <w:sz w:val="20"/>
                <w:szCs w:val="20"/>
              </w:rPr>
              <w:t xml:space="preserve">El contador carga el archivo DIOT_SSM180928AQ7.txt directamente en el portal del SAT sin necesidad de captura manual.</w:t>
            </w:r>
          </w:p>
        </w:tc>
      </w:tr>
    </w:tbl>
    <w:p>
      <w:pPr>
        <w:spacing w:after="8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E3A5F" w:val="clear"/>
            <w:tcMar>
              <w:top w:type="dxa" w:w="80"/>
              <w:left w:type="dxa" w:w="100"/>
              <w:bottom w:type="dxa" w:w="80"/>
              <w:right w:type="dxa" w:w="100"/>
            </w:tcMar>
            <w:vAlign w:val="center"/>
          </w:tcPr>
          <w:p>
            <w:pPr>
              <w:jc w:val="center"/>
            </w:pPr>
            <w:r>
              <w:rPr>
                <w:rFonts w:ascii="Arial" w:cs="Arial" w:eastAsia="Arial" w:hAnsi="Arial"/>
                <w:b/>
                <w:bCs/>
                <w:color w:val="FFFFFF"/>
                <w:sz w:val="26"/>
                <w:szCs w:val="26"/>
              </w:rPr>
              <w:t xml:space="preserve">5</w:t>
            </w:r>
          </w:p>
        </w:tc>
        <w:tc>
          <w:tcPr>
            <w:tcW w:type="dxa" w:w="8660"/>
            <w:tcBorders>
              <w:top w:val="none" w:color="FFFFFF" w:sz="0"/>
              <w:left w:val="none" w:color="FFFFFF" w:sz="0"/>
              <w:bottom w:val="none" w:color="FFFFFF" w:sz="0"/>
              <w:right w:val="none" w:color="FFFFFF" w:sz="0"/>
            </w:tcBorders>
            <w:tcMar>
              <w:top w:type="dxa" w:w="80"/>
              <w:left w:type="dxa" w:w="160"/>
              <w:bottom w:type="dxa" w:w="80"/>
              <w:right w:type="dxa" w:w="100"/>
            </w:tcMar>
          </w:tcPr>
          <w:p>
            <w:r>
              <w:rPr>
                <w:rFonts w:ascii="Arial" w:cs="Arial" w:eastAsia="Arial" w:hAnsi="Arial"/>
                <w:b/>
                <w:bCs/>
                <w:color w:val="1E3A5F"/>
                <w:sz w:val="22"/>
                <w:szCs w:val="22"/>
              </w:rPr>
              <w:t xml:space="preserve">Enviar acuse a Alfredo</w:t>
            </w:r>
          </w:p>
          <w:p>
            <w:r>
              <w:rPr>
                <w:rFonts w:ascii="Arial" w:cs="Arial" w:eastAsia="Arial" w:hAnsi="Arial"/>
                <w:color w:val="1E293B"/>
                <w:sz w:val="20"/>
                <w:szCs w:val="20"/>
              </w:rPr>
              <w:t xml:space="preserve">El SAT genera un PDF de acuse con el número de operación. El contador te lo envía.</w:t>
            </w:r>
          </w:p>
        </w:tc>
      </w:tr>
    </w:tbl>
    <w:p>
      <w:pPr>
        <w:spacing w:after="20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EFF6FF" w:val="clear"/>
            <w:tcMar>
              <w:top w:type="dxa" w:w="80"/>
              <w:left w:type="dxa" w:w="120"/>
              <w:bottom w:type="dxa" w:w="80"/>
              <w:right w:type="dxa" w:w="60"/>
            </w:tcMar>
            <w:vAlign w:val="center"/>
          </w:tcPr>
          <w:p>
            <w:pPr>
              <w:jc w:val="center"/>
            </w:pPr>
            <w:r>
              <w:rPr>
                <w:rFonts w:ascii="Segoe UI Emoji" w:cs="Segoe UI Emoji" w:eastAsia="Segoe UI Emoji" w:hAnsi="Segoe UI Emoji"/>
                <w:sz w:val="24"/>
                <w:szCs w:val="24"/>
              </w:rPr>
              <w:t xml:space="preserve">💡</w:t>
            </w:r>
          </w:p>
        </w:tc>
        <w:tc>
          <w:tcPr>
            <w:tcW w:type="dxa" w:w="8960"/>
            <w:tcBorders>
              <w:top w:val="none" w:color="FFFFFF" w:sz="0"/>
              <w:left w:val="none" w:color="FFFFFF" w:sz="0"/>
              <w:bottom w:val="none" w:color="FFFFFF" w:sz="0"/>
              <w:right w:val="none" w:color="FFFFFF" w:sz="0"/>
            </w:tcBorders>
            <w:shd w:fill="EFF6FF" w:val="clear"/>
            <w:tcMar>
              <w:top w:type="dxa" w:w="80"/>
              <w:left w:type="dxa" w:w="120"/>
              <w:bottom w:type="dxa" w:w="80"/>
              <w:right w:type="dxa" w:w="120"/>
            </w:tcMar>
          </w:tcPr>
          <w:p>
            <w:r>
              <w:rPr>
                <w:rFonts w:ascii="Arial" w:cs="Arial" w:eastAsia="Arial" w:hAnsi="Arial"/>
                <w:color w:val="1E293B"/>
                <w:sz w:val="20"/>
                <w:szCs w:val="20"/>
              </w:rPr>
              <w:t xml:space="preserve">El contador debe enviarte: (1) El PDF del acuse de declaración, (2) El IVA acreditable efectivo que usó, (3) La compensación del saldo 2022 aplicada.</w:t>
            </w:r>
          </w:p>
        </w:tc>
      </w:tr>
    </w:tbl>
    <w:p>
      <w:pPr>
        <w:spacing w:after="200" w:before="0"/>
      </w:pPr>
      <w:r>
        <w:t xml:space="preserve"/>
      </w:r>
    </w:p>
    <w:p>
      <w:r>
        <w:br w:type="page"/>
      </w:r>
    </w:p>
    <w:p>
      <w:pPr>
        <w:pStyle w:val="Heading1"/>
        <w:pBdr>
          <w:bottom w:val="single" w:color="1E3A5F" w:sz="8" w:space="6"/>
        </w:pBdr>
        <w:spacing w:after="160" w:before="400"/>
      </w:pPr>
      <w:r>
        <w:rPr>
          <w:rFonts w:ascii="Arial" w:cs="Arial" w:eastAsia="Arial" w:hAnsi="Arial"/>
          <w:b/>
          <w:bCs/>
          <w:color w:val="1E3A5F"/>
          <w:sz w:val="32"/>
          <w:szCs w:val="32"/>
        </w:rPr>
        <w:t xml:space="preserve">4. Cierre — Datos del Acuse SAT</w:t>
      </w:r>
    </w:p>
    <w:p>
      <w:pPr>
        <w:spacing w:after="80" w:before="80"/>
      </w:pPr>
      <w:r>
        <w:rPr>
          <w:rFonts w:ascii="Arial" w:cs="Arial" w:eastAsia="Arial" w:hAnsi="Arial"/>
          <w:color w:val="1E293B"/>
          <w:sz w:val="21"/>
          <w:szCs w:val="21"/>
        </w:rPr>
        <w:t xml:space="preserve">Una vez que el contador presentó la declaración y te envió el PDF del acuse, tienes que capturar 4 datos en el sistema para cerrar el mes. Esto toma menos de 5 minutos.</w:t>
      </w:r>
    </w:p>
    <w:p>
      <w:pPr>
        <w:spacing w:after="160" w:before="0"/>
      </w:pPr>
      <w:r>
        <w:t xml:space="preserve"/>
      </w:r>
    </w:p>
    <w:p>
      <w:pPr>
        <w:pStyle w:val="Heading2"/>
        <w:spacing w:after="120" w:before="320"/>
      </w:pPr>
      <w:r>
        <w:rPr>
          <w:rFonts w:ascii="Arial" w:cs="Arial" w:eastAsia="Arial" w:hAnsi="Arial"/>
          <w:b/>
          <w:bCs/>
          <w:color w:val="1E3A5F"/>
          <w:sz w:val="26"/>
          <w:szCs w:val="26"/>
        </w:rPr>
        <w:t xml:space="preserve">4.1 Dónde encontrar cada dato en el PDF del acuse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Dato a capturar</w:t>
            </w:r>
          </w:p>
        </w:tc>
        <w:tc>
          <w:tcPr>
            <w:tcW w:type="dxa" w:w="312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Dónde está en el PDF</w:t>
            </w:r>
          </w:p>
        </w:tc>
        <w:tc>
          <w:tcPr>
            <w:tcW w:type="dxa" w:w="312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Ejemplo</w:t>
            </w:r>
          </w:p>
        </w:tc>
      </w:tr>
      <w:tr>
        <w:tc>
          <w:tcPr>
            <w:tcW w:type="dxa" w:w="312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N° de operación SAT</w:t>
            </w:r>
          </w:p>
        </w:tc>
        <w:tc>
          <w:tcPr>
            <w:tcW w:type="dxa" w:w="312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Encabezado de cualquier página, campo "Número de operación"</w:t>
            </w:r>
          </w:p>
        </w:tc>
        <w:tc>
          <w:tcPr>
            <w:tcW w:type="dxa" w:w="312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262980117765</w:t>
            </w:r>
          </w:p>
        </w:tc>
      </w:tr>
      <w:tr>
        <w:tc>
          <w:tcPr>
            <w:tcW w:type="dxa" w:w="312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IVA acreditable efectivo</w:t>
            </w:r>
          </w:p>
        </w:tc>
        <w:tc>
          <w:tcPr>
            <w:tcW w:type="dxa" w:w="312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Sección IVA Acreditable, campo "Total de IVA trasladado al contribuyente (efectivamente pagado)"</w:t>
            </w:r>
          </w:p>
        </w:tc>
        <w:tc>
          <w:tcPr>
            <w:tcW w:type="dxa" w:w="312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$2,422.00</w:t>
            </w:r>
          </w:p>
        </w:tc>
      </w:tr>
      <w:tr>
        <w:tc>
          <w:tcPr>
            <w:tcW w:type="dxa" w:w="312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IVA retenciones a cargo</w:t>
            </w:r>
          </w:p>
        </w:tc>
        <w:tc>
          <w:tcPr>
            <w:tcW w:type="dxa" w:w="312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Última página "IVA Retenciones", campo "Cantidad a pagar"</w:t>
            </w:r>
          </w:p>
        </w:tc>
        <w:tc>
          <w:tcPr>
            <w:tcW w:type="dxa" w:w="312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$1,440.00</w:t>
            </w:r>
          </w:p>
        </w:tc>
      </w:tr>
      <w:tr>
        <w:tc>
          <w:tcPr>
            <w:tcW w:type="dxa" w:w="312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Compensación saldo 2022</w:t>
            </w:r>
          </w:p>
        </w:tc>
        <w:tc>
          <w:tcPr>
            <w:tcW w:type="dxa" w:w="312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Sección "Detalle de Compensaciones", campo "Saldo a aplicar"</w:t>
            </w:r>
          </w:p>
        </w:tc>
        <w:tc>
          <w:tcPr>
            <w:tcW w:type="dxa" w:w="312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$3,391.00</w:t>
            </w:r>
          </w:p>
        </w:tc>
      </w:tr>
      <w:tr>
        <w:tc>
          <w:tcPr>
            <w:tcW w:type="dxa" w:w="312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Remanente saldo 2022</w:t>
            </w:r>
          </w:p>
        </w:tc>
        <w:tc>
          <w:tcPr>
            <w:tcW w:type="dxa" w:w="312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Sección "Detalle de Compensaciones", campo "Remanente histórico antes de la aplicación"</w:t>
            </w:r>
          </w:p>
        </w:tc>
        <w:tc>
          <w:tcPr>
            <w:tcW w:type="dxa" w:w="312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$162,069.00</w:t>
            </w:r>
          </w:p>
        </w:tc>
      </w:tr>
    </w:tbl>
    <w:p>
      <w:pPr>
        <w:spacing w:after="200" w:before="0"/>
      </w:pPr>
      <w:r>
        <w:t xml:space="preserve"/>
      </w:r>
    </w:p>
    <w:p>
      <w:pPr>
        <w:pStyle w:val="Heading2"/>
        <w:spacing w:after="120" w:before="320"/>
      </w:pPr>
      <w:r>
        <w:rPr>
          <w:rFonts w:ascii="Arial" w:cs="Arial" w:eastAsia="Arial" w:hAnsi="Arial"/>
          <w:b/>
          <w:bCs/>
          <w:color w:val="1E3A5F"/>
          <w:sz w:val="26"/>
          <w:szCs w:val="26"/>
        </w:rPr>
        <w:t xml:space="preserve">4.2 Cómo capturar los datos en el sistema</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E3A5F" w:val="clear"/>
            <w:tcMar>
              <w:top w:type="dxa" w:w="80"/>
              <w:left w:type="dxa" w:w="100"/>
              <w:bottom w:type="dxa" w:w="80"/>
              <w:right w:type="dxa" w:w="100"/>
            </w:tcMar>
            <w:vAlign w:val="center"/>
          </w:tcPr>
          <w:p>
            <w:pPr>
              <w:jc w:val="center"/>
            </w:pPr>
            <w:r>
              <w:rPr>
                <w:rFonts w:ascii="Arial" w:cs="Arial" w:eastAsia="Arial" w:hAnsi="Arial"/>
                <w:b/>
                <w:bCs/>
                <w:color w:val="FFFFFF"/>
                <w:sz w:val="26"/>
                <w:szCs w:val="26"/>
              </w:rPr>
              <w:t xml:space="preserve">1</w:t>
            </w:r>
          </w:p>
        </w:tc>
        <w:tc>
          <w:tcPr>
            <w:tcW w:type="dxa" w:w="8660"/>
            <w:tcBorders>
              <w:top w:val="none" w:color="FFFFFF" w:sz="0"/>
              <w:left w:val="none" w:color="FFFFFF" w:sz="0"/>
              <w:bottom w:val="none" w:color="FFFFFF" w:sz="0"/>
              <w:right w:val="none" w:color="FFFFFF" w:sz="0"/>
            </w:tcBorders>
            <w:tcMar>
              <w:top w:type="dxa" w:w="80"/>
              <w:left w:type="dxa" w:w="160"/>
              <w:bottom w:type="dxa" w:w="80"/>
              <w:right w:type="dxa" w:w="100"/>
            </w:tcMar>
          </w:tcPr>
          <w:p>
            <w:r>
              <w:rPr>
                <w:rFonts w:ascii="Arial" w:cs="Arial" w:eastAsia="Arial" w:hAnsi="Arial"/>
                <w:b/>
                <w:bCs/>
                <w:color w:val="1E3A5F"/>
                <w:sz w:val="22"/>
                <w:szCs w:val="22"/>
              </w:rPr>
              <w:t xml:space="preserve">Ir a Reporte Contador</w:t>
            </w:r>
          </w:p>
          <w:p>
            <w:r>
              <w:rPr>
                <w:rFonts w:ascii="Arial" w:cs="Arial" w:eastAsia="Arial" w:hAnsi="Arial"/>
                <w:color w:val="1E293B"/>
                <w:sz w:val="20"/>
                <w:szCs w:val="20"/>
              </w:rPr>
              <w:t xml:space="preserve">En el menú de Fiscal haz clic en "Reporte Contador". Verifica que el período seleccionado sea el mes que acabas de declarar.</w:t>
            </w:r>
          </w:p>
        </w:tc>
      </w:tr>
    </w:tbl>
    <w:p>
      <w:pPr>
        <w:spacing w:after="8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E3A5F" w:val="clear"/>
            <w:tcMar>
              <w:top w:type="dxa" w:w="80"/>
              <w:left w:type="dxa" w:w="100"/>
              <w:bottom w:type="dxa" w:w="80"/>
              <w:right w:type="dxa" w:w="100"/>
            </w:tcMar>
            <w:vAlign w:val="center"/>
          </w:tcPr>
          <w:p>
            <w:pPr>
              <w:jc w:val="center"/>
            </w:pPr>
            <w:r>
              <w:rPr>
                <w:rFonts w:ascii="Arial" w:cs="Arial" w:eastAsia="Arial" w:hAnsi="Arial"/>
                <w:b/>
                <w:bCs/>
                <w:color w:val="FFFFFF"/>
                <w:sz w:val="26"/>
                <w:szCs w:val="26"/>
              </w:rPr>
              <w:t xml:space="preserve">2</w:t>
            </w:r>
          </w:p>
        </w:tc>
        <w:tc>
          <w:tcPr>
            <w:tcW w:type="dxa" w:w="8660"/>
            <w:tcBorders>
              <w:top w:val="none" w:color="FFFFFF" w:sz="0"/>
              <w:left w:val="none" w:color="FFFFFF" w:sz="0"/>
              <w:bottom w:val="none" w:color="FFFFFF" w:sz="0"/>
              <w:right w:val="none" w:color="FFFFFF" w:sz="0"/>
            </w:tcBorders>
            <w:tcMar>
              <w:top w:type="dxa" w:w="80"/>
              <w:left w:type="dxa" w:w="160"/>
              <w:bottom w:type="dxa" w:w="80"/>
              <w:right w:type="dxa" w:w="100"/>
            </w:tcMar>
          </w:tcPr>
          <w:p>
            <w:r>
              <w:rPr>
                <w:rFonts w:ascii="Arial" w:cs="Arial" w:eastAsia="Arial" w:hAnsi="Arial"/>
                <w:b/>
                <w:bCs/>
                <w:color w:val="1E3A5F"/>
                <w:sz w:val="22"/>
                <w:szCs w:val="22"/>
              </w:rPr>
              <w:t xml:space="preserve">Localizar sección ④</w:t>
            </w:r>
          </w:p>
          <w:p>
            <w:r>
              <w:rPr>
                <w:rFonts w:ascii="Arial" w:cs="Arial" w:eastAsia="Arial" w:hAnsi="Arial"/>
                <w:color w:val="1E293B"/>
                <w:sz w:val="20"/>
                <w:szCs w:val="20"/>
              </w:rPr>
              <w:t xml:space="preserve">Desplázate hacia abajo hasta la sección "④ Captura declaración SAT — valores reales presentados" (fondo azul oscuro).</w:t>
            </w:r>
          </w:p>
        </w:tc>
      </w:tr>
    </w:tbl>
    <w:p>
      <w:pPr>
        <w:spacing w:after="8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E3A5F" w:val="clear"/>
            <w:tcMar>
              <w:top w:type="dxa" w:w="80"/>
              <w:left w:type="dxa" w:w="100"/>
              <w:bottom w:type="dxa" w:w="80"/>
              <w:right w:type="dxa" w:w="100"/>
            </w:tcMar>
            <w:vAlign w:val="center"/>
          </w:tcPr>
          <w:p>
            <w:pPr>
              <w:jc w:val="center"/>
            </w:pPr>
            <w:r>
              <w:rPr>
                <w:rFonts w:ascii="Arial" w:cs="Arial" w:eastAsia="Arial" w:hAnsi="Arial"/>
                <w:b/>
                <w:bCs/>
                <w:color w:val="FFFFFF"/>
                <w:sz w:val="26"/>
                <w:szCs w:val="26"/>
              </w:rPr>
              <w:t xml:space="preserve">3</w:t>
            </w:r>
          </w:p>
        </w:tc>
        <w:tc>
          <w:tcPr>
            <w:tcW w:type="dxa" w:w="8660"/>
            <w:tcBorders>
              <w:top w:val="none" w:color="FFFFFF" w:sz="0"/>
              <w:left w:val="none" w:color="FFFFFF" w:sz="0"/>
              <w:bottom w:val="none" w:color="FFFFFF" w:sz="0"/>
              <w:right w:val="none" w:color="FFFFFF" w:sz="0"/>
            </w:tcBorders>
            <w:tcMar>
              <w:top w:type="dxa" w:w="80"/>
              <w:left w:type="dxa" w:w="160"/>
              <w:bottom w:type="dxa" w:w="80"/>
              <w:right w:type="dxa" w:w="100"/>
            </w:tcMar>
          </w:tcPr>
          <w:p>
            <w:r>
              <w:rPr>
                <w:rFonts w:ascii="Arial" w:cs="Arial" w:eastAsia="Arial" w:hAnsi="Arial"/>
                <w:b/>
                <w:bCs/>
                <w:color w:val="1E3A5F"/>
                <w:sz w:val="22"/>
                <w:szCs w:val="22"/>
              </w:rPr>
              <w:t xml:space="preserve">Capturar datos del acuse</w:t>
            </w:r>
          </w:p>
          <w:p>
            <w:r>
              <w:rPr>
                <w:rFonts w:ascii="Arial" w:cs="Arial" w:eastAsia="Arial" w:hAnsi="Arial"/>
                <w:color w:val="1E293B"/>
                <w:sz w:val="20"/>
                <w:szCs w:val="20"/>
              </w:rPr>
              <w:t xml:space="preserve">Llena los campos con los valores del PDF:
• IVA acreditable efectivo (según SAT)
• IVA retenciones a cargo
• ISR causado (si difiere del calculado automáticamente)
• Compensación aplicada del saldo 2022
• Remanente saldo 2022
• Número de operación SAT</w:t>
            </w:r>
          </w:p>
        </w:tc>
      </w:tr>
    </w:tbl>
    <w:p>
      <w:pPr>
        <w:spacing w:after="8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E3A5F" w:val="clear"/>
            <w:tcMar>
              <w:top w:type="dxa" w:w="80"/>
              <w:left w:type="dxa" w:w="100"/>
              <w:bottom w:type="dxa" w:w="80"/>
              <w:right w:type="dxa" w:w="100"/>
            </w:tcMar>
            <w:vAlign w:val="center"/>
          </w:tcPr>
          <w:p>
            <w:pPr>
              <w:jc w:val="center"/>
            </w:pPr>
            <w:r>
              <w:rPr>
                <w:rFonts w:ascii="Arial" w:cs="Arial" w:eastAsia="Arial" w:hAnsi="Arial"/>
                <w:b/>
                <w:bCs/>
                <w:color w:val="FFFFFF"/>
                <w:sz w:val="26"/>
                <w:szCs w:val="26"/>
              </w:rPr>
              <w:t xml:space="preserve">4</w:t>
            </w:r>
          </w:p>
        </w:tc>
        <w:tc>
          <w:tcPr>
            <w:tcW w:type="dxa" w:w="8660"/>
            <w:tcBorders>
              <w:top w:val="none" w:color="FFFFFF" w:sz="0"/>
              <w:left w:val="none" w:color="FFFFFF" w:sz="0"/>
              <w:bottom w:val="none" w:color="FFFFFF" w:sz="0"/>
              <w:right w:val="none" w:color="FFFFFF" w:sz="0"/>
            </w:tcBorders>
            <w:tcMar>
              <w:top w:type="dxa" w:w="80"/>
              <w:left w:type="dxa" w:w="160"/>
              <w:bottom w:type="dxa" w:w="80"/>
              <w:right w:type="dxa" w:w="100"/>
            </w:tcMar>
          </w:tcPr>
          <w:p>
            <w:r>
              <w:rPr>
                <w:rFonts w:ascii="Arial" w:cs="Arial" w:eastAsia="Arial" w:hAnsi="Arial"/>
                <w:b/>
                <w:bCs/>
                <w:color w:val="1E3A5F"/>
                <w:sz w:val="22"/>
                <w:szCs w:val="22"/>
              </w:rPr>
              <w:t xml:space="preserve">Guardar declaración</w:t>
            </w:r>
          </w:p>
          <w:p>
            <w:r>
              <w:rPr>
                <w:rFonts w:ascii="Arial" w:cs="Arial" w:eastAsia="Arial" w:hAnsi="Arial"/>
                <w:color w:val="1E293B"/>
                <w:sz w:val="20"/>
                <w:szCs w:val="20"/>
              </w:rPr>
              <w:t xml:space="preserve">Haz clic en "💾 Guardar declaración presentada". El sistema actualiza automáticamente:
• Estado del mes a ✅ Presentada
• Remanente del saldo 2022 para el mes siguiente
• Pagos provisionales acumulados para calcular el ISR del siguiente mes</w:t>
            </w:r>
          </w:p>
        </w:tc>
      </w:tr>
    </w:tbl>
    <w:p>
      <w:pPr>
        <w:spacing w:after="16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F0FDF4" w:val="clear"/>
            <w:tcMar>
              <w:top w:type="dxa" w:w="80"/>
              <w:left w:type="dxa" w:w="120"/>
              <w:bottom w:type="dxa" w:w="80"/>
              <w:right w:type="dxa" w:w="60"/>
            </w:tcMar>
            <w:vAlign w:val="center"/>
          </w:tcPr>
          <w:p>
            <w:pPr>
              <w:jc w:val="center"/>
            </w:pPr>
            <w:r>
              <w:rPr>
                <w:rFonts w:ascii="Segoe UI Emoji" w:cs="Segoe UI Emoji" w:eastAsia="Segoe UI Emoji" w:hAnsi="Segoe UI Emoji"/>
                <w:sz w:val="24"/>
                <w:szCs w:val="24"/>
              </w:rPr>
              <w:t xml:space="preserve">✅</w:t>
            </w:r>
          </w:p>
        </w:tc>
        <w:tc>
          <w:tcPr>
            <w:tcW w:type="dxa" w:w="8960"/>
            <w:tcBorders>
              <w:top w:val="none" w:color="FFFFFF" w:sz="0"/>
              <w:left w:val="none" w:color="FFFFFF" w:sz="0"/>
              <w:bottom w:val="none" w:color="FFFFFF" w:sz="0"/>
              <w:right w:val="none" w:color="FFFFFF" w:sz="0"/>
            </w:tcBorders>
            <w:shd w:fill="F0FDF4" w:val="clear"/>
            <w:tcMar>
              <w:top w:type="dxa" w:w="80"/>
              <w:left w:type="dxa" w:w="120"/>
              <w:bottom w:type="dxa" w:w="80"/>
              <w:right w:type="dxa" w:w="120"/>
            </w:tcMar>
          </w:tcPr>
          <w:p>
            <w:r>
              <w:rPr>
                <w:rFonts w:ascii="Arial" w:cs="Arial" w:eastAsia="Arial" w:hAnsi="Arial"/>
                <w:color w:val="1E293B"/>
                <w:sz w:val="20"/>
                <w:szCs w:val="20"/>
              </w:rPr>
              <w:t xml:space="preserve">Cuando el sistema muestra el mensaje "Declaración [mes] guardada como PRESENTADA (N° op: XXXX)", el cierre del mes está completo. La tabla acumulada anual se actualiza automáticamente.</w:t>
            </w:r>
          </w:p>
        </w:tc>
      </w:tr>
    </w:tbl>
    <w:p>
      <w:pPr>
        <w:spacing w:after="200" w:before="0"/>
      </w:pPr>
      <w:r>
        <w:t xml:space="preserve"/>
      </w:r>
    </w:p>
    <w:p>
      <w:r>
        <w:br w:type="page"/>
      </w:r>
    </w:p>
    <w:p>
      <w:pPr>
        <w:pStyle w:val="Heading1"/>
        <w:pBdr>
          <w:bottom w:val="single" w:color="1E3A5F" w:sz="8" w:space="6"/>
        </w:pBdr>
        <w:spacing w:after="160" w:before="400"/>
      </w:pPr>
      <w:r>
        <w:rPr>
          <w:rFonts w:ascii="Arial" w:cs="Arial" w:eastAsia="Arial" w:hAnsi="Arial"/>
          <w:b/>
          <w:bCs/>
          <w:color w:val="1E3A5F"/>
          <w:sz w:val="32"/>
          <w:szCs w:val="32"/>
        </w:rPr>
        <w:t xml:space="preserve">5. Lector Automático del PDF del Acuse</w:t>
      </w:r>
    </w:p>
    <w:p>
      <w:pPr>
        <w:spacing w:after="80" w:before="80"/>
      </w:pPr>
      <w:r>
        <w:rPr>
          <w:rFonts w:ascii="Arial" w:cs="Arial" w:eastAsia="Arial" w:hAnsi="Arial"/>
          <w:color w:val="1E293B"/>
          <w:sz w:val="21"/>
          <w:szCs w:val="21"/>
        </w:rPr>
        <w:t xml:space="preserve">El sistema incluye un lector automático del PDF del acuse SAT que extrae los datos directamente, eliminando la captura manual. Esta función está disponible en la sección ④ del Reporte Contador.</w:t>
      </w:r>
    </w:p>
    <w:p>
      <w:pPr>
        <w:spacing w:after="16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E3A5F" w:val="clear"/>
            <w:tcMar>
              <w:top w:type="dxa" w:w="80"/>
              <w:left w:type="dxa" w:w="100"/>
              <w:bottom w:type="dxa" w:w="80"/>
              <w:right w:type="dxa" w:w="100"/>
            </w:tcMar>
            <w:vAlign w:val="center"/>
          </w:tcPr>
          <w:p>
            <w:pPr>
              <w:jc w:val="center"/>
            </w:pPr>
            <w:r>
              <w:rPr>
                <w:rFonts w:ascii="Arial" w:cs="Arial" w:eastAsia="Arial" w:hAnsi="Arial"/>
                <w:b/>
                <w:bCs/>
                <w:color w:val="FFFFFF"/>
                <w:sz w:val="26"/>
                <w:szCs w:val="26"/>
              </w:rPr>
              <w:t xml:space="preserve">1</w:t>
            </w:r>
          </w:p>
        </w:tc>
        <w:tc>
          <w:tcPr>
            <w:tcW w:type="dxa" w:w="8660"/>
            <w:tcBorders>
              <w:top w:val="none" w:color="FFFFFF" w:sz="0"/>
              <w:left w:val="none" w:color="FFFFFF" w:sz="0"/>
              <w:bottom w:val="none" w:color="FFFFFF" w:sz="0"/>
              <w:right w:val="none" w:color="FFFFFF" w:sz="0"/>
            </w:tcBorders>
            <w:tcMar>
              <w:top w:type="dxa" w:w="80"/>
              <w:left w:type="dxa" w:w="160"/>
              <w:bottom w:type="dxa" w:w="80"/>
              <w:right w:type="dxa" w:w="100"/>
            </w:tcMar>
          </w:tcPr>
          <w:p>
            <w:r>
              <w:rPr>
                <w:rFonts w:ascii="Arial" w:cs="Arial" w:eastAsia="Arial" w:hAnsi="Arial"/>
                <w:b/>
                <w:bCs/>
                <w:color w:val="1E3A5F"/>
                <w:sz w:val="22"/>
                <w:szCs w:val="22"/>
              </w:rPr>
              <w:t xml:space="preserve">Obtener el PDF del acuse</w:t>
            </w:r>
          </w:p>
          <w:p>
            <w:r>
              <w:rPr>
                <w:rFonts w:ascii="Arial" w:cs="Arial" w:eastAsia="Arial" w:hAnsi="Arial"/>
                <w:color w:val="1E293B"/>
                <w:sz w:val="20"/>
                <w:szCs w:val="20"/>
              </w:rPr>
              <w:t xml:space="preserve">El contador te envía el PDF del acuse de declaración (el mismo que descarga del portal SAT después de presentar).</w:t>
            </w:r>
          </w:p>
        </w:tc>
      </w:tr>
    </w:tbl>
    <w:p>
      <w:pPr>
        <w:spacing w:after="8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E3A5F" w:val="clear"/>
            <w:tcMar>
              <w:top w:type="dxa" w:w="80"/>
              <w:left w:type="dxa" w:w="100"/>
              <w:bottom w:type="dxa" w:w="80"/>
              <w:right w:type="dxa" w:w="100"/>
            </w:tcMar>
            <w:vAlign w:val="center"/>
          </w:tcPr>
          <w:p>
            <w:pPr>
              <w:jc w:val="center"/>
            </w:pPr>
            <w:r>
              <w:rPr>
                <w:rFonts w:ascii="Arial" w:cs="Arial" w:eastAsia="Arial" w:hAnsi="Arial"/>
                <w:b/>
                <w:bCs/>
                <w:color w:val="FFFFFF"/>
                <w:sz w:val="26"/>
                <w:szCs w:val="26"/>
              </w:rPr>
              <w:t xml:space="preserve">2</w:t>
            </w:r>
          </w:p>
        </w:tc>
        <w:tc>
          <w:tcPr>
            <w:tcW w:type="dxa" w:w="8660"/>
            <w:tcBorders>
              <w:top w:val="none" w:color="FFFFFF" w:sz="0"/>
              <w:left w:val="none" w:color="FFFFFF" w:sz="0"/>
              <w:bottom w:val="none" w:color="FFFFFF" w:sz="0"/>
              <w:right w:val="none" w:color="FFFFFF" w:sz="0"/>
            </w:tcBorders>
            <w:tcMar>
              <w:top w:type="dxa" w:w="80"/>
              <w:left w:type="dxa" w:w="160"/>
              <w:bottom w:type="dxa" w:w="80"/>
              <w:right w:type="dxa" w:w="100"/>
            </w:tcMar>
          </w:tcPr>
          <w:p>
            <w:r>
              <w:rPr>
                <w:rFonts w:ascii="Arial" w:cs="Arial" w:eastAsia="Arial" w:hAnsi="Arial"/>
                <w:b/>
                <w:bCs/>
                <w:color w:val="1E3A5F"/>
                <w:sz w:val="22"/>
                <w:szCs w:val="22"/>
              </w:rPr>
              <w:t xml:space="preserve">Subir el PDF al sistema</w:t>
            </w:r>
          </w:p>
          <w:p>
            <w:r>
              <w:rPr>
                <w:rFonts w:ascii="Arial" w:cs="Arial" w:eastAsia="Arial" w:hAnsi="Arial"/>
                <w:color w:val="1E293B"/>
                <w:sz w:val="20"/>
                <w:szCs w:val="20"/>
              </w:rPr>
              <w:t xml:space="preserve">En la sección ④ del Reporte Contador, arrastra el PDF del acuse al área de carga marcada como "📄 Subir PDF acuse SAT (opcional)".</w:t>
            </w:r>
          </w:p>
        </w:tc>
      </w:tr>
    </w:tbl>
    <w:p>
      <w:pPr>
        <w:spacing w:after="8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E3A5F" w:val="clear"/>
            <w:tcMar>
              <w:top w:type="dxa" w:w="80"/>
              <w:left w:type="dxa" w:w="100"/>
              <w:bottom w:type="dxa" w:w="80"/>
              <w:right w:type="dxa" w:w="100"/>
            </w:tcMar>
            <w:vAlign w:val="center"/>
          </w:tcPr>
          <w:p>
            <w:pPr>
              <w:jc w:val="center"/>
            </w:pPr>
            <w:r>
              <w:rPr>
                <w:rFonts w:ascii="Arial" w:cs="Arial" w:eastAsia="Arial" w:hAnsi="Arial"/>
                <w:b/>
                <w:bCs/>
                <w:color w:val="FFFFFF"/>
                <w:sz w:val="26"/>
                <w:szCs w:val="26"/>
              </w:rPr>
              <w:t xml:space="preserve">3</w:t>
            </w:r>
          </w:p>
        </w:tc>
        <w:tc>
          <w:tcPr>
            <w:tcW w:type="dxa" w:w="8660"/>
            <w:tcBorders>
              <w:top w:val="none" w:color="FFFFFF" w:sz="0"/>
              <w:left w:val="none" w:color="FFFFFF" w:sz="0"/>
              <w:bottom w:val="none" w:color="FFFFFF" w:sz="0"/>
              <w:right w:val="none" w:color="FFFFFF" w:sz="0"/>
            </w:tcBorders>
            <w:tcMar>
              <w:top w:type="dxa" w:w="80"/>
              <w:left w:type="dxa" w:w="160"/>
              <w:bottom w:type="dxa" w:w="80"/>
              <w:right w:type="dxa" w:w="100"/>
            </w:tcMar>
          </w:tcPr>
          <w:p>
            <w:r>
              <w:rPr>
                <w:rFonts w:ascii="Arial" w:cs="Arial" w:eastAsia="Arial" w:hAnsi="Arial"/>
                <w:b/>
                <w:bCs/>
                <w:color w:val="1E3A5F"/>
                <w:sz w:val="22"/>
                <w:szCs w:val="22"/>
              </w:rPr>
              <w:t xml:space="preserve">Verificar datos extraídos</w:t>
            </w:r>
          </w:p>
          <w:p>
            <w:r>
              <w:rPr>
                <w:rFonts w:ascii="Arial" w:cs="Arial" w:eastAsia="Arial" w:hAnsi="Arial"/>
                <w:color w:val="1E293B"/>
                <w:sz w:val="20"/>
                <w:szCs w:val="20"/>
              </w:rPr>
              <w:t xml:space="preserve">El sistema lee el PDF automáticamente y pre-llena todos los campos: número de operación, IVA acreditable, IVA retenciones, compensación y remanente.</w:t>
            </w:r>
          </w:p>
        </w:tc>
      </w:tr>
    </w:tbl>
    <w:p>
      <w:pPr>
        <w:spacing w:after="8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E3A5F" w:val="clear"/>
            <w:tcMar>
              <w:top w:type="dxa" w:w="80"/>
              <w:left w:type="dxa" w:w="100"/>
              <w:bottom w:type="dxa" w:w="80"/>
              <w:right w:type="dxa" w:w="100"/>
            </w:tcMar>
            <w:vAlign w:val="center"/>
          </w:tcPr>
          <w:p>
            <w:pPr>
              <w:jc w:val="center"/>
            </w:pPr>
            <w:r>
              <w:rPr>
                <w:rFonts w:ascii="Arial" w:cs="Arial" w:eastAsia="Arial" w:hAnsi="Arial"/>
                <w:b/>
                <w:bCs/>
                <w:color w:val="FFFFFF"/>
                <w:sz w:val="26"/>
                <w:szCs w:val="26"/>
              </w:rPr>
              <w:t xml:space="preserve">4</w:t>
            </w:r>
          </w:p>
        </w:tc>
        <w:tc>
          <w:tcPr>
            <w:tcW w:type="dxa" w:w="8660"/>
            <w:tcBorders>
              <w:top w:val="none" w:color="FFFFFF" w:sz="0"/>
              <w:left w:val="none" w:color="FFFFFF" w:sz="0"/>
              <w:bottom w:val="none" w:color="FFFFFF" w:sz="0"/>
              <w:right w:val="none" w:color="FFFFFF" w:sz="0"/>
            </w:tcBorders>
            <w:tcMar>
              <w:top w:type="dxa" w:w="80"/>
              <w:left w:type="dxa" w:w="160"/>
              <w:bottom w:type="dxa" w:w="80"/>
              <w:right w:type="dxa" w:w="100"/>
            </w:tcMar>
          </w:tcPr>
          <w:p>
            <w:r>
              <w:rPr>
                <w:rFonts w:ascii="Arial" w:cs="Arial" w:eastAsia="Arial" w:hAnsi="Arial"/>
                <w:b/>
                <w:bCs/>
                <w:color w:val="1E3A5F"/>
                <w:sz w:val="22"/>
                <w:szCs w:val="22"/>
              </w:rPr>
              <w:t xml:space="preserve">Confirmar y guardar</w:t>
            </w:r>
          </w:p>
          <w:p>
            <w:r>
              <w:rPr>
                <w:rFonts w:ascii="Arial" w:cs="Arial" w:eastAsia="Arial" w:hAnsi="Arial"/>
                <w:color w:val="1E293B"/>
                <w:sz w:val="20"/>
                <w:szCs w:val="20"/>
              </w:rPr>
              <w:t xml:space="preserve">Revisa que los datos sean correctos y haz clic en "💾 Guardar declaración presentada".</w:t>
            </w:r>
          </w:p>
        </w:tc>
      </w:tr>
    </w:tbl>
    <w:p>
      <w:pPr>
        <w:spacing w:after="20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EFF6FF" w:val="clear"/>
            <w:tcMar>
              <w:top w:type="dxa" w:w="80"/>
              <w:left w:type="dxa" w:w="120"/>
              <w:bottom w:type="dxa" w:w="80"/>
              <w:right w:type="dxa" w:w="60"/>
            </w:tcMar>
            <w:vAlign w:val="center"/>
          </w:tcPr>
          <w:p>
            <w:pPr>
              <w:jc w:val="center"/>
            </w:pPr>
            <w:r>
              <w:rPr>
                <w:rFonts w:ascii="Segoe UI Emoji" w:cs="Segoe UI Emoji" w:eastAsia="Segoe UI Emoji" w:hAnsi="Segoe UI Emoji"/>
                <w:sz w:val="24"/>
                <w:szCs w:val="24"/>
              </w:rPr>
              <w:t xml:space="preserve">💡</w:t>
            </w:r>
          </w:p>
        </w:tc>
        <w:tc>
          <w:tcPr>
            <w:tcW w:type="dxa" w:w="8960"/>
            <w:tcBorders>
              <w:top w:val="none" w:color="FFFFFF" w:sz="0"/>
              <w:left w:val="none" w:color="FFFFFF" w:sz="0"/>
              <w:bottom w:val="none" w:color="FFFFFF" w:sz="0"/>
              <w:right w:val="none" w:color="FFFFFF" w:sz="0"/>
            </w:tcBorders>
            <w:shd w:fill="EFF6FF" w:val="clear"/>
            <w:tcMar>
              <w:top w:type="dxa" w:w="80"/>
              <w:left w:type="dxa" w:w="120"/>
              <w:bottom w:type="dxa" w:w="80"/>
              <w:right w:type="dxa" w:w="120"/>
            </w:tcMar>
          </w:tcPr>
          <w:p>
            <w:r>
              <w:rPr>
                <w:rFonts w:ascii="Arial" w:cs="Arial" w:eastAsia="Arial" w:hAnsi="Arial"/>
                <w:color w:val="1E293B"/>
                <w:sz w:val="20"/>
                <w:szCs w:val="20"/>
              </w:rPr>
              <w:t xml:space="preserve">Si el PDF no se puede leer automáticamente (por ejemplo, si está escaneado o tiene formato diferente), el sistema te avisa y puedes capturar los datos manualmente como se describe en la sección 4.</w:t>
            </w:r>
          </w:p>
        </w:tc>
      </w:tr>
    </w:tbl>
    <w:p>
      <w:pPr>
        <w:spacing w:after="200" w:before="0"/>
      </w:pPr>
      <w:r>
        <w:t xml:space="preserve"/>
      </w:r>
    </w:p>
    <w:p>
      <w:r>
        <w:br w:type="page"/>
      </w:r>
    </w:p>
    <w:p>
      <w:pPr>
        <w:pStyle w:val="Heading1"/>
        <w:pBdr>
          <w:bottom w:val="single" w:color="1E3A5F" w:sz="8" w:space="6"/>
        </w:pBdr>
        <w:spacing w:after="160" w:before="400"/>
      </w:pPr>
      <w:r>
        <w:rPr>
          <w:rFonts w:ascii="Arial" w:cs="Arial" w:eastAsia="Arial" w:hAnsi="Arial"/>
          <w:b/>
          <w:bCs/>
          <w:color w:val="1E3A5F"/>
          <w:sz w:val="32"/>
          <w:szCs w:val="32"/>
        </w:rPr>
        <w:t xml:space="preserve">6. Calendario y Fechas Límite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Actividad</w:t>
            </w:r>
          </w:p>
        </w:tc>
        <w:tc>
          <w:tcPr>
            <w:tcW w:type="dxa" w:w="234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Responsable</w:t>
            </w:r>
          </w:p>
        </w:tc>
        <w:tc>
          <w:tcPr>
            <w:tcW w:type="dxa" w:w="234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Fecha límite</w:t>
            </w:r>
          </w:p>
        </w:tc>
        <w:tc>
          <w:tcPr>
            <w:tcW w:type="dxa" w:w="234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Consecuencia si se pasa</w:t>
            </w:r>
          </w:p>
        </w:tc>
      </w:tr>
      <w:tr>
        <w:tc>
          <w:tcPr>
            <w:tcW w:type="dxa" w:w="23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Subir XMLs y CSV de Albo</w:t>
            </w:r>
          </w:p>
        </w:tc>
        <w:tc>
          <w:tcPr>
            <w:tcW w:type="dxa" w:w="23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Alfredo</w:t>
            </w:r>
          </w:p>
        </w:tc>
        <w:tc>
          <w:tcPr>
            <w:tcW w:type="dxa" w:w="23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Día 12 del mes siguiente</w:t>
            </w:r>
          </w:p>
        </w:tc>
        <w:tc>
          <w:tcPr>
            <w:tcW w:type="dxa" w:w="23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El contador no tiene tiempo para revisar</w:t>
            </w:r>
          </w:p>
        </w:tc>
      </w:tr>
      <w:tr>
        <w:tc>
          <w:tcPr>
            <w:tcW w:type="dxa" w:w="234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Enviar paquete ZIP al contador</w:t>
            </w:r>
          </w:p>
        </w:tc>
        <w:tc>
          <w:tcPr>
            <w:tcW w:type="dxa" w:w="234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Alfredo</w:t>
            </w:r>
          </w:p>
        </w:tc>
        <w:tc>
          <w:tcPr>
            <w:tcW w:type="dxa" w:w="234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Día 13 del mes siguiente</w:t>
            </w:r>
          </w:p>
        </w:tc>
        <w:tc>
          <w:tcPr>
            <w:tcW w:type="dxa" w:w="234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Retraso en la presentación</w:t>
            </w:r>
          </w:p>
        </w:tc>
      </w:tr>
      <w:tr>
        <w:tc>
          <w:tcPr>
            <w:tcW w:type="dxa" w:w="23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Presentación declaración mensual</w:t>
            </w:r>
          </w:p>
        </w:tc>
        <w:tc>
          <w:tcPr>
            <w:tcW w:type="dxa" w:w="23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Contador</w:t>
            </w:r>
          </w:p>
        </w:tc>
        <w:tc>
          <w:tcPr>
            <w:tcW w:type="dxa" w:w="23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Día 17 del mes siguiente</w:t>
            </w:r>
          </w:p>
        </w:tc>
        <w:tc>
          <w:tcPr>
            <w:tcW w:type="dxa" w:w="23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Recargo y multa del SAT</w:t>
            </w:r>
          </w:p>
        </w:tc>
      </w:tr>
      <w:tr>
        <w:tc>
          <w:tcPr>
            <w:tcW w:type="dxa" w:w="234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Presentación DIOT</w:t>
            </w:r>
          </w:p>
        </w:tc>
        <w:tc>
          <w:tcPr>
            <w:tcW w:type="dxa" w:w="234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Contador</w:t>
            </w:r>
          </w:p>
        </w:tc>
        <w:tc>
          <w:tcPr>
            <w:tcW w:type="dxa" w:w="234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Último día del mes siguiente</w:t>
            </w:r>
          </w:p>
        </w:tc>
        <w:tc>
          <w:tcPr>
            <w:tcW w:type="dxa" w:w="234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Multa por presentación extemporánea</w:t>
            </w:r>
          </w:p>
        </w:tc>
      </w:tr>
      <w:tr>
        <w:tc>
          <w:tcPr>
            <w:tcW w:type="dxa" w:w="23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Capturar datos del acuse en sistema</w:t>
            </w:r>
          </w:p>
        </w:tc>
        <w:tc>
          <w:tcPr>
            <w:tcW w:type="dxa" w:w="23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Alfredo</w:t>
            </w:r>
          </w:p>
        </w:tc>
        <w:tc>
          <w:tcPr>
            <w:tcW w:type="dxa" w:w="23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3 días después de recibir acuse</w:t>
            </w:r>
          </w:p>
        </w:tc>
        <w:tc>
          <w:tcPr>
            <w:tcW w:type="dxa" w:w="23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El sistema no calcula correctamente el siguiente mes</w:t>
            </w:r>
          </w:p>
        </w:tc>
      </w:tr>
    </w:tbl>
    <w:p>
      <w:pPr>
        <w:spacing w:after="20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FEF2F2" w:val="clear"/>
            <w:tcMar>
              <w:top w:type="dxa" w:w="80"/>
              <w:left w:type="dxa" w:w="120"/>
              <w:bottom w:type="dxa" w:w="80"/>
              <w:right w:type="dxa" w:w="60"/>
            </w:tcMar>
            <w:vAlign w:val="center"/>
          </w:tcPr>
          <w:p>
            <w:pPr>
              <w:jc w:val="center"/>
            </w:pPr>
            <w:r>
              <w:rPr>
                <w:rFonts w:ascii="Segoe UI Emoji" w:cs="Segoe UI Emoji" w:eastAsia="Segoe UI Emoji" w:hAnsi="Segoe UI Emoji"/>
                <w:sz w:val="24"/>
                <w:szCs w:val="24"/>
              </w:rPr>
              <w:t xml:space="preserve">🚨</w:t>
            </w:r>
          </w:p>
        </w:tc>
        <w:tc>
          <w:tcPr>
            <w:tcW w:type="dxa" w:w="8960"/>
            <w:tcBorders>
              <w:top w:val="none" w:color="FFFFFF" w:sz="0"/>
              <w:left w:val="none" w:color="FFFFFF" w:sz="0"/>
              <w:bottom w:val="none" w:color="FFFFFF" w:sz="0"/>
              <w:right w:val="none" w:color="FFFFFF" w:sz="0"/>
            </w:tcBorders>
            <w:shd w:fill="FEF2F2" w:val="clear"/>
            <w:tcMar>
              <w:top w:type="dxa" w:w="80"/>
              <w:left w:type="dxa" w:w="120"/>
              <w:bottom w:type="dxa" w:w="80"/>
              <w:right w:type="dxa" w:w="120"/>
            </w:tcMar>
          </w:tcPr>
          <w:p>
            <w:r>
              <w:rPr>
                <w:rFonts w:ascii="Arial" w:cs="Arial" w:eastAsia="Arial" w:hAnsi="Arial"/>
                <w:color w:val="1E293B"/>
                <w:sz w:val="20"/>
                <w:szCs w:val="20"/>
              </w:rPr>
              <w:t xml:space="preserve">Si la declaración se presenta después del día 17, el SAT aplica recargos automáticamente. En caso de no poder presentar a tiempo, el contador debe presentar una declaración complementaria o extemporánea con los recargos calculados.</w:t>
            </w:r>
          </w:p>
        </w:tc>
      </w:tr>
    </w:tbl>
    <w:p>
      <w:pPr>
        <w:spacing w:after="200" w:before="0"/>
      </w:pPr>
      <w:r>
        <w:t xml:space="preserve"/>
      </w:r>
    </w:p>
    <w:p>
      <w:r>
        <w:br w:type="page"/>
      </w:r>
    </w:p>
    <w:p>
      <w:pPr>
        <w:pStyle w:val="Heading1"/>
        <w:pBdr>
          <w:bottom w:val="single" w:color="1E3A5F" w:sz="8" w:space="6"/>
        </w:pBdr>
        <w:spacing w:after="160" w:before="400"/>
      </w:pPr>
      <w:r>
        <w:rPr>
          <w:rFonts w:ascii="Arial" w:cs="Arial" w:eastAsia="Arial" w:hAnsi="Arial"/>
          <w:b/>
          <w:bCs/>
          <w:color w:val="1E3A5F"/>
          <w:sz w:val="32"/>
          <w:szCs w:val="32"/>
        </w:rPr>
        <w:t xml:space="preserve">7. Datos de Referencia</w:t>
      </w:r>
    </w:p>
    <w:p>
      <w:pPr>
        <w:spacing w:after="120" w:before="0"/>
      </w:pPr>
      <w:r>
        <w:t xml:space="preserve"/>
      </w:r>
    </w:p>
    <w:p>
      <w:pPr>
        <w:pStyle w:val="Heading2"/>
        <w:spacing w:after="120" w:before="320"/>
      </w:pPr>
      <w:r>
        <w:rPr>
          <w:rFonts w:ascii="Arial" w:cs="Arial" w:eastAsia="Arial" w:hAnsi="Arial"/>
          <w:b/>
          <w:bCs/>
          <w:color w:val="1E3A5F"/>
          <w:sz w:val="26"/>
          <w:szCs w:val="26"/>
        </w:rPr>
        <w:t xml:space="preserve">7.1 Datos fiscales de Solmedix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Concepto</w:t>
            </w:r>
          </w:p>
        </w:tc>
        <w:tc>
          <w:tcPr>
            <w:tcW w:type="dxa" w:w="468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Valor</w:t>
            </w:r>
          </w:p>
        </w:tc>
      </w:tr>
      <w:tr>
        <w:tc>
          <w:tcPr>
            <w:tcW w:type="dxa" w:w="46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Razón social</w:t>
            </w:r>
          </w:p>
        </w:tc>
        <w:tc>
          <w:tcPr>
            <w:tcW w:type="dxa" w:w="46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SOLMEDIX SOLUCIONES MEDICAS SA DE CV</w:t>
            </w:r>
          </w:p>
        </w:tc>
      </w:tr>
      <w:tr>
        <w:tc>
          <w:tcPr>
            <w:tcW w:type="dxa" w:w="468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RFC</w:t>
            </w:r>
          </w:p>
        </w:tc>
        <w:tc>
          <w:tcPr>
            <w:tcW w:type="dxa" w:w="468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SSM180928AQ7</w:t>
            </w:r>
          </w:p>
        </w:tc>
      </w:tr>
      <w:tr>
        <w:tc>
          <w:tcPr>
            <w:tcW w:type="dxa" w:w="46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Régimen fiscal</w:t>
            </w:r>
          </w:p>
        </w:tc>
        <w:tc>
          <w:tcPr>
            <w:tcW w:type="dxa" w:w="46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601 — General de Ley Personas Morales</w:t>
            </w:r>
          </w:p>
        </w:tc>
      </w:tr>
      <w:tr>
        <w:tc>
          <w:tcPr>
            <w:tcW w:type="dxa" w:w="468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Coeficiente de utilidad 2026</w:t>
            </w:r>
          </w:p>
        </w:tc>
        <w:tc>
          <w:tcPr>
            <w:tcW w:type="dxa" w:w="468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0.0460 (de declaración anual 2025)</w:t>
            </w:r>
          </w:p>
        </w:tc>
      </w:tr>
      <w:tr>
        <w:tc>
          <w:tcPr>
            <w:tcW w:type="dxa" w:w="46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Tasa ISR</w:t>
            </w:r>
          </w:p>
        </w:tc>
        <w:tc>
          <w:tcPr>
            <w:tcW w:type="dxa" w:w="46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30%</w:t>
            </w:r>
          </w:p>
        </w:tc>
      </w:tr>
      <w:tr>
        <w:tc>
          <w:tcPr>
            <w:tcW w:type="dxa" w:w="468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Saldo a favor 2022 original</w:t>
            </w:r>
          </w:p>
        </w:tc>
        <w:tc>
          <w:tcPr>
            <w:tcW w:type="dxa" w:w="468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$247,947</w:t>
            </w:r>
          </w:p>
        </w:tc>
      </w:tr>
      <w:tr>
        <w:tc>
          <w:tcPr>
            <w:tcW w:type="dxa" w:w="46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Remanente saldo 2022 (inicio 2026)</w:t>
            </w:r>
          </w:p>
        </w:tc>
        <w:tc>
          <w:tcPr>
            <w:tcW w:type="dxa" w:w="46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$166,178</w:t>
            </w:r>
          </w:p>
        </w:tc>
      </w:tr>
      <w:tr>
        <w:tc>
          <w:tcPr>
            <w:tcW w:type="dxa" w:w="468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Cuenta bancaria Albo</w:t>
            </w:r>
          </w:p>
        </w:tc>
        <w:tc>
          <w:tcPr>
            <w:tcW w:type="dxa" w:w="468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CLABE: 7229 6902 0443 7467 86</w:t>
            </w:r>
          </w:p>
        </w:tc>
      </w:tr>
    </w:tbl>
    <w:p>
      <w:pPr>
        <w:spacing w:after="200" w:before="0"/>
      </w:pPr>
      <w:r>
        <w:t xml:space="preserve"/>
      </w:r>
    </w:p>
    <w:p>
      <w:pPr>
        <w:pStyle w:val="Heading2"/>
        <w:spacing w:after="120" w:before="320"/>
      </w:pPr>
      <w:r>
        <w:rPr>
          <w:rFonts w:ascii="Arial" w:cs="Arial" w:eastAsia="Arial" w:hAnsi="Arial"/>
          <w:b/>
          <w:bCs/>
          <w:color w:val="1E3A5F"/>
          <w:sz w:val="26"/>
          <w:szCs w:val="26"/>
        </w:rPr>
        <w:t xml:space="preserve">7.2 Resumen declaraciones Ene-Mar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rPr>
          <w:tblHeader/>
        </w:trPr>
        <w:tc>
          <w:tcPr>
            <w:tcW w:type="dxa" w:w="117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Mes</w:t>
            </w:r>
          </w:p>
        </w:tc>
        <w:tc>
          <w:tcPr>
            <w:tcW w:type="dxa" w:w="117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Ingresos</w:t>
            </w:r>
          </w:p>
        </w:tc>
        <w:tc>
          <w:tcPr>
            <w:tcW w:type="dxa" w:w="117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IVA acred.</w:t>
            </w:r>
          </w:p>
        </w:tc>
        <w:tc>
          <w:tcPr>
            <w:tcW w:type="dxa" w:w="117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IVA reten.</w:t>
            </w:r>
          </w:p>
        </w:tc>
        <w:tc>
          <w:tcPr>
            <w:tcW w:type="dxa" w:w="117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ISR causado</w:t>
            </w:r>
          </w:p>
        </w:tc>
        <w:tc>
          <w:tcPr>
            <w:tcW w:type="dxa" w:w="117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Compensación</w:t>
            </w:r>
          </w:p>
        </w:tc>
        <w:tc>
          <w:tcPr>
            <w:tcW w:type="dxa" w:w="117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ISR pagado</w:t>
            </w:r>
          </w:p>
        </w:tc>
        <w:tc>
          <w:tcPr>
            <w:tcW w:type="dxa" w:w="117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 Operación</w:t>
            </w:r>
          </w:p>
        </w:tc>
      </w:tr>
      <w:tr>
        <w:tc>
          <w:tcPr>
            <w:tcW w:type="dxa" w:w="117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Enero</w:t>
            </w:r>
          </w:p>
        </w:tc>
        <w:tc>
          <w:tcPr>
            <w:tcW w:type="dxa" w:w="117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$192,469</w:t>
            </w:r>
          </w:p>
        </w:tc>
        <w:tc>
          <w:tcPr>
            <w:tcW w:type="dxa" w:w="117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$560</w:t>
            </w:r>
          </w:p>
        </w:tc>
        <w:tc>
          <w:tcPr>
            <w:tcW w:type="dxa" w:w="117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$0</w:t>
            </w:r>
          </w:p>
        </w:tc>
        <w:tc>
          <w:tcPr>
            <w:tcW w:type="dxa" w:w="117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$2,541</w:t>
            </w:r>
          </w:p>
        </w:tc>
        <w:tc>
          <w:tcPr>
            <w:tcW w:type="dxa" w:w="117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$2,541</w:t>
            </w:r>
          </w:p>
        </w:tc>
        <w:tc>
          <w:tcPr>
            <w:tcW w:type="dxa" w:w="117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$0</w:t>
            </w:r>
          </w:p>
        </w:tc>
        <w:tc>
          <w:tcPr>
            <w:tcW w:type="dxa" w:w="117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262230038568</w:t>
            </w:r>
          </w:p>
        </w:tc>
      </w:tr>
      <w:tr>
        <w:tc>
          <w:tcPr>
            <w:tcW w:type="dxa" w:w="117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Febrero</w:t>
            </w:r>
          </w:p>
        </w:tc>
        <w:tc>
          <w:tcPr>
            <w:tcW w:type="dxa" w:w="117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$118,860</w:t>
            </w:r>
          </w:p>
        </w:tc>
        <w:tc>
          <w:tcPr>
            <w:tcW w:type="dxa" w:w="117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$2,160</w:t>
            </w:r>
          </w:p>
        </w:tc>
        <w:tc>
          <w:tcPr>
            <w:tcW w:type="dxa" w:w="117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$1,440</w:t>
            </w:r>
          </w:p>
        </w:tc>
        <w:tc>
          <w:tcPr>
            <w:tcW w:type="dxa" w:w="117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$4,109</w:t>
            </w:r>
          </w:p>
        </w:tc>
        <w:tc>
          <w:tcPr>
            <w:tcW w:type="dxa" w:w="117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$1,568</w:t>
            </w:r>
          </w:p>
        </w:tc>
        <w:tc>
          <w:tcPr>
            <w:tcW w:type="dxa" w:w="117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$0</w:t>
            </w:r>
          </w:p>
        </w:tc>
        <w:tc>
          <w:tcPr>
            <w:tcW w:type="dxa" w:w="117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261710062412</w:t>
            </w:r>
          </w:p>
        </w:tc>
      </w:tr>
      <w:tr>
        <w:tc>
          <w:tcPr>
            <w:tcW w:type="dxa" w:w="117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Marzo</w:t>
            </w:r>
          </w:p>
        </w:tc>
        <w:tc>
          <w:tcPr>
            <w:tcW w:type="dxa" w:w="117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$232,165</w:t>
            </w:r>
          </w:p>
        </w:tc>
        <w:tc>
          <w:tcPr>
            <w:tcW w:type="dxa" w:w="117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$2,422</w:t>
            </w:r>
          </w:p>
        </w:tc>
        <w:tc>
          <w:tcPr>
            <w:tcW w:type="dxa" w:w="117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$1,440</w:t>
            </w:r>
          </w:p>
        </w:tc>
        <w:tc>
          <w:tcPr>
            <w:tcW w:type="dxa" w:w="117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$7,500</w:t>
            </w:r>
          </w:p>
        </w:tc>
        <w:tc>
          <w:tcPr>
            <w:tcW w:type="dxa" w:w="117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$3,391</w:t>
            </w:r>
          </w:p>
        </w:tc>
        <w:tc>
          <w:tcPr>
            <w:tcW w:type="dxa" w:w="117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$0</w:t>
            </w:r>
          </w:p>
        </w:tc>
        <w:tc>
          <w:tcPr>
            <w:tcW w:type="dxa" w:w="117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262980117765</w:t>
            </w:r>
          </w:p>
        </w:tc>
      </w:tr>
      <w:tr>
        <w:tc>
          <w:tcPr>
            <w:tcW w:type="dxa" w:w="117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TOTAL</w:t>
            </w:r>
          </w:p>
        </w:tc>
        <w:tc>
          <w:tcPr>
            <w:tcW w:type="dxa" w:w="117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$543,494</w:t>
            </w:r>
          </w:p>
        </w:tc>
        <w:tc>
          <w:tcPr>
            <w:tcW w:type="dxa" w:w="117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$5,142</w:t>
            </w:r>
          </w:p>
        </w:tc>
        <w:tc>
          <w:tcPr>
            <w:tcW w:type="dxa" w:w="117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$2,880</w:t>
            </w:r>
          </w:p>
        </w:tc>
        <w:tc>
          <w:tcPr>
            <w:tcW w:type="dxa" w:w="117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$14,150</w:t>
            </w:r>
          </w:p>
        </w:tc>
        <w:tc>
          <w:tcPr>
            <w:tcW w:type="dxa" w:w="117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$7,500</w:t>
            </w:r>
          </w:p>
        </w:tc>
        <w:tc>
          <w:tcPr>
            <w:tcW w:type="dxa" w:w="117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$0</w:t>
            </w:r>
          </w:p>
        </w:tc>
        <w:tc>
          <w:tcPr>
            <w:tcW w:type="dxa" w:w="117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w:t>
            </w:r>
          </w:p>
        </w:tc>
      </w:tr>
    </w:tbl>
    <w:p>
      <w:pPr>
        <w:spacing w:after="200" w:before="0"/>
      </w:pPr>
      <w:r>
        <w:t xml:space="preserve"/>
      </w:r>
    </w:p>
    <w:p>
      <w:pPr>
        <w:pStyle w:val="Heading2"/>
        <w:spacing w:after="120" w:before="320"/>
      </w:pPr>
      <w:r>
        <w:rPr>
          <w:rFonts w:ascii="Arial" w:cs="Arial" w:eastAsia="Arial" w:hAnsi="Arial"/>
          <w:b/>
          <w:bCs/>
          <w:color w:val="1E3A5F"/>
          <w:sz w:val="26"/>
          <w:szCs w:val="26"/>
        </w:rPr>
        <w:t xml:space="preserve">7.3 Contactos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w:t>
            </w:r>
          </w:p>
        </w:tc>
        <w:tc>
          <w:tcPr>
            <w:tcW w:type="dxa" w:w="468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Nombre / Datos</w:t>
            </w:r>
          </w:p>
        </w:tc>
      </w:tr>
      <w:tr>
        <w:tc>
          <w:tcPr>
            <w:tcW w:type="dxa" w:w="46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Administrador sistema</w:t>
            </w:r>
          </w:p>
        </w:tc>
        <w:tc>
          <w:tcPr>
            <w:tcW w:type="dxa" w:w="46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Alfredo Alfaro — aalfaro@solmedix.com.mx</w:t>
            </w:r>
          </w:p>
        </w:tc>
      </w:tr>
      <w:tr>
        <w:tc>
          <w:tcPr>
            <w:tcW w:type="dxa" w:w="468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Contador</w:t>
            </w:r>
          </w:p>
        </w:tc>
        <w:tc>
          <w:tcPr>
            <w:tcW w:type="dxa" w:w="468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Contacto fiscal de Solmedix</w:t>
            </w:r>
          </w:p>
        </w:tc>
      </w:tr>
      <w:tr>
        <w:tc>
          <w:tcPr>
            <w:tcW w:type="dxa" w:w="46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Soporte sistema</w:t>
            </w:r>
          </w:p>
        </w:tc>
        <w:tc>
          <w:tcPr>
            <w:tcW w:type="dxa" w:w="46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GitHub: bealfaro2/solmedix-pos</w:t>
            </w:r>
          </w:p>
        </w:tc>
      </w:tr>
    </w:tbl>
    <w:p>
      <w:pPr>
        <w:spacing w:after="400" w:before="0"/>
      </w:pPr>
      <w:r>
        <w:t xml:space="preserve"/>
      </w:r>
    </w:p>
    <w:p>
      <w:pPr>
        <w:pBdr>
          <w:bottom w:val="single" w:color="CBD5E1" w:sz="4" w:space="4"/>
        </w:pBdr>
        <w:spacing w:after="160" w:before="160"/>
      </w:pPr>
      <w:r>
        <w:t xml:space="preserve"/>
      </w:r>
    </w:p>
    <w:p>
      <w:pPr>
        <w:spacing w:after="80" w:before="200"/>
        <w:jc w:val="center"/>
      </w:pPr>
      <w:r>
        <w:rPr>
          <w:rFonts w:ascii="Arial" w:cs="Arial" w:eastAsia="Arial" w:hAnsi="Arial"/>
          <w:color w:val="64748B"/>
          <w:sz w:val="18"/>
          <w:szCs w:val="18"/>
        </w:rPr>
        <w:t xml:space="preserve">Solmedix Soluciones Médicas SA de CV  —  SSM180928AQ7</w:t>
      </w:r>
    </w:p>
    <w:p>
      <w:pPr>
        <w:jc w:val="center"/>
      </w:pPr>
      <w:r>
        <w:rPr>
          <w:rFonts w:ascii="Arial" w:cs="Arial" w:eastAsia="Arial" w:hAnsi="Arial"/>
          <w:color w:val="64748B"/>
          <w:sz w:val="18"/>
          <w:szCs w:val="18"/>
        </w:rPr>
        <w:t xml:space="preserve">Sistema desarrollado con Claude (Anthropic)  —  2026</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jc w:val="center"/>
    </w:pPr>
    <w:r>
      <w:rPr>
        <w:rFonts w:ascii="Arial" w:cs="Arial" w:eastAsia="Arial" w:hAnsi="Arial"/>
        <w:color w:val="64748B"/>
        <w:sz w:val="18"/>
        <w:szCs w:val="18"/>
      </w:rPr>
      <w:t xml:space="preserve">Solmedix Soluciones Médicas SA de CV  |  SSM180928AQ7  |  Página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jc w:val="right"/>
    </w:pPr>
    <w:r>
      <w:rPr>
        <w:rFonts w:ascii="Arial" w:cs="Arial" w:eastAsia="Arial" w:hAnsi="Arial"/>
        <w:color w:val="64748B"/>
        <w:sz w:val="18"/>
        <w:szCs w:val="18"/>
      </w:rPr>
      <w:t xml:space="preserve">SOLMEDIX — Manual de Cierre Fiscal Mensual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sz w:val="32"/>
      <w:szCs w:val="32"/>
    </w:rPr>
  </w:style>
  <w:style w:type="paragraph" w:styleId="Heading2">
    <w:name w:val="Heading 2"/>
    <w:basedOn w:val="Normal"/>
    <w:next w:val="Normal"/>
    <w:qFormat/>
    <w:pPr>
      <w:spacing w:after="120" w:before="32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2026-05-06T02:23:10.233Z</dcterms:created>
  <dcterms:modified xsi:type="dcterms:W3CDTF">2026-05-06T02:23:10.234Z</dcterms:modified>
</cp:coreProperties>
</file>

<file path=docProps/custom.xml><?xml version="1.0" encoding="utf-8"?>
<Properties xmlns="http://schemas.openxmlformats.org/officeDocument/2006/custom-properties" xmlns:vt="http://schemas.openxmlformats.org/officeDocument/2006/docPropsVTypes"/>
</file>