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b/>
          <w:color w:val="1F3364"/>
          <w:sz w:val="80"/>
        </w:rPr>
        <w:t>VELMO 2.0</w:t>
      </w:r>
    </w:p>
    <w:p>
      <w:pPr>
        <w:jc w:val="center"/>
      </w:pPr>
      <w:r>
        <w:rPr>
          <w:color w:val="2E5C8A"/>
          <w:sz w:val="40"/>
        </w:rPr>
        <w:t>Schémas d'architecture commentés</w:t>
      </w:r>
    </w:p>
    <w:p>
      <w:pPr>
        <w:spacing w:before="80"/>
        <w:jc w:val="center"/>
      </w:pPr>
      <w:r>
        <w:rPr>
          <w:i/>
          <w:color w:val="595959"/>
          <w:sz w:val="24"/>
        </w:rPr>
        <w:t>Dossier de conception — agent de support client</w:t>
        <w:br/>
        <w:t>Mémoire · Garde-fous · MLOps</w:t>
      </w:r>
    </w:p>
    <w:p>
      <w:pPr>
        <w:spacing w:before="680"/>
        <w:jc w:val="center"/>
      </w:pPr>
      <w:r>
        <w:rPr>
          <w:b/>
          <w:color w:val="1F3364"/>
          <w:sz w:val="28"/>
        </w:rPr>
        <w:t>Alpha</w:t>
      </w:r>
      <w:r>
        <w:rPr>
          <w:color w:val="595959"/>
          <w:sz w:val="21"/>
        </w:rPr>
        <w:br/>
        <w:t>Juillet 2026</w:t>
      </w:r>
    </w:p>
    <w:p>
      <w:pPr>
        <w:spacing w:before="1200"/>
        <w:jc w:val="center"/>
      </w:pPr>
      <w:r>
        <w:rPr>
          <w:color w:val="222222"/>
          <w:sz w:val="22"/>
        </w:rPr>
        <w:t>Sept schémas, un par point de vue : ce qu'ils montrent,</w:t>
        <w:br/>
        <w:t>comment les lire, et quelles décisions de conception ils portent.</w:t>
      </w:r>
    </w:p>
    <w:p>
      <w:r>
        <w:br w:type="page"/>
      </w:r>
    </w:p>
    <w:p>
      <w:pPr>
        <w:pStyle w:val="Heading1"/>
      </w:pPr>
      <w:r>
        <w:t>Sommaire</w:t>
      </w:r>
    </w:p>
    <w:p>
      <w:r>
        <w:fldChar w:fldCharType="begin"/>
        <w:instrText xml:space="preserve"> TOC \o "1-2" \h \z \u </w:instrText>
        <w:fldChar w:fldCharType="separate"/>
        <w:fldChar w:fldCharType="end"/>
      </w:r>
    </w:p>
    <w:p>
      <w:r>
        <w:rPr>
          <w:i/>
          <w:color w:val="595959"/>
          <w:sz w:val="18"/>
        </w:rPr>
        <w:t>(Sommaire automatique : dans Word, clic droit sur le champ → « Mettre à jour les champs », ou F9, pour afficher les titres et leur pagination.)</w:t>
      </w:r>
    </w:p>
    <w:p>
      <w:r>
        <w:br w:type="page"/>
      </w:r>
    </w:p>
    <w:p>
      <w:pPr>
        <w:pStyle w:val="Heading1"/>
      </w:pPr>
      <w:r>
        <w:t>Comment lire ce document</w:t>
      </w:r>
    </w:p>
    <w:p>
      <w:pPr>
        <w:spacing w:after="200"/>
      </w:pPr>
      <w:r>
        <w:rPr>
          <w:i/>
          <w:color w:val="334455"/>
          <w:sz w:val="22"/>
        </w:rPr>
        <w:t>Ce dossier ne se contente pas d'afficher les schémas : il les fait parler. Chaque schéma répond à une question précise, se lit dans un sens précis, et porte des décisions de conception qui se défendent. C'est ce raisonnement-là qui est écrit ici.</w:t>
      </w:r>
    </w:p>
    <w:p>
      <w:r>
        <w:rPr>
          <w:color w:val="222222"/>
          <w:sz w:val="21"/>
        </w:rPr>
        <w:t xml:space="preserve">Les sept schémas ont été produits sous </w:t>
      </w:r>
      <w:r>
        <w:rPr>
          <w:b/>
          <w:color w:val="222222"/>
          <w:sz w:val="21"/>
        </w:rPr>
        <w:t>Mermaid</w:t>
      </w:r>
      <w:r>
        <w:rPr>
          <w:color w:val="222222"/>
          <w:sz w:val="21"/>
        </w:rPr>
        <w:t xml:space="preserve"> à partir des sources versionnées du projet (</w:t>
      </w:r>
      <w:r>
        <w:rPr>
          <w:rFonts w:ascii="Consolas" w:hAnsi="Consolas"/>
          <w:i w:val="0"/>
          <w:color w:val="A31D1D"/>
          <w:sz w:val="19"/>
        </w:rPr>
        <w:t>dossier-conception/diagrammes.md</w:t>
      </w:r>
      <w:r>
        <w:rPr>
          <w:color w:val="222222"/>
          <w:sz w:val="21"/>
        </w:rPr>
        <w:t xml:space="preserve">), puis exportés en PDF via mermaideditor.io. Ils sont donc </w:t>
      </w:r>
      <w:r>
        <w:rPr>
          <w:b/>
          <w:color w:val="222222"/>
          <w:sz w:val="21"/>
        </w:rPr>
        <w:t>régénérables à l'identique</w:t>
      </w:r>
      <w:r>
        <w:rPr>
          <w:color w:val="222222"/>
          <w:sz w:val="21"/>
        </w:rPr>
        <w:t xml:space="preserve"> : le schéma n'est pas un dessin figé à côté du code, c'est du texte versionné au même titre que le code. Une évolution de l'architecture se relit dans l'historique Git.</w:t>
      </w:r>
    </w:p>
    <w:p>
      <w:pPr>
        <w:pStyle w:val="Heading2"/>
      </w:pPr>
      <w:r>
        <w:t>La structure de chaque chapitre</w:t>
      </w:r>
    </w:p>
    <w:p>
      <w:r>
        <w:rPr>
          <w:color w:val="222222"/>
          <w:sz w:val="21"/>
        </w:rPr>
        <w:t>Chaque schéma est présenté selon la même grille de lecture, en quatre temps :</w:t>
      </w:r>
    </w:p>
    <w:tbl>
      <w:tblPr>
        <w:tblW w:type="auto" w:w="0"/>
        <w:jc w:val="center"/>
        <w:tblLayout w:type="fixed"/>
        <w:tblLook w:firstColumn="1" w:firstRow="1" w:lastColumn="0" w:lastRow="0" w:noHBand="0" w:noVBand="1" w:val="04A0"/>
      </w:tblPr>
      <w:tblGrid>
        <w:gridCol w:w="4649"/>
        <w:gridCol w:w="4649"/>
      </w:tblGrid>
      <w:tr>
        <w:tc>
          <w:tcPr>
            <w:tcW w:type="dxa" w:w="2948"/>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Section</w:t>
            </w:r>
          </w:p>
        </w:tc>
        <w:tc>
          <w:tcPr>
            <w:tcW w:type="dxa" w:w="6350"/>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Ce qu'elle répond</w:t>
            </w:r>
          </w:p>
        </w:tc>
      </w:tr>
      <w:tr>
        <w:tc>
          <w:tcPr>
            <w:tcW w:type="dxa" w:w="2948"/>
            <w:tcBorders>
              <w:top w:val="single" w:sz="6" w:color="D9D9D9"/>
              <w:left w:val="single" w:sz="6" w:color="D9D9D9"/>
              <w:bottom w:val="single" w:sz="6" w:color="D9D9D9"/>
              <w:right w:val="single" w:sz="6" w:color="D9D9D9"/>
            </w:tcBorders>
          </w:tcPr>
          <w:p>
            <w:pPr>
              <w:spacing w:before="40" w:after="40"/>
            </w:pPr>
            <w:r>
              <w:rPr>
                <w:b/>
                <w:color w:val="222222"/>
                <w:sz w:val="19"/>
              </w:rPr>
              <w:t>Ce que montre le schéma</w:t>
            </w:r>
          </w:p>
        </w:tc>
        <w:tc>
          <w:tcPr>
            <w:tcW w:type="dxa" w:w="6350"/>
            <w:tcBorders>
              <w:top w:val="single" w:sz="6" w:color="D9D9D9"/>
              <w:left w:val="single" w:sz="6" w:color="D9D9D9"/>
              <w:bottom w:val="single" w:sz="6" w:color="D9D9D9"/>
              <w:right w:val="single" w:sz="6" w:color="D9D9D9"/>
            </w:tcBorders>
          </w:tcPr>
          <w:p>
            <w:pPr>
              <w:spacing w:before="40" w:after="40"/>
            </w:pPr>
            <w:r>
              <w:rPr>
                <w:color w:val="222222"/>
                <w:sz w:val="19"/>
              </w:rPr>
              <w:t>À quelle question ce point de vue répond — et à quelles questions il ne répond volontairement pas.</w:t>
            </w:r>
          </w:p>
        </w:tc>
      </w:tr>
      <w:tr>
        <w:tc>
          <w:tcPr>
            <w:tcW w:type="dxa" w:w="2948"/>
            <w:tcBorders>
              <w:top w:val="single" w:sz="6" w:color="D9D9D9"/>
              <w:left w:val="single" w:sz="6" w:color="D9D9D9"/>
              <w:bottom w:val="single" w:sz="6" w:color="D9D9D9"/>
              <w:right w:val="single" w:sz="6" w:color="D9D9D9"/>
            </w:tcBorders>
            <w:shd w:val="clear" w:color="auto" w:fill="F6F8FB"/>
          </w:tcPr>
          <w:p>
            <w:pPr>
              <w:spacing w:before="40" w:after="40"/>
            </w:pPr>
            <w:r>
              <w:rPr>
                <w:b/>
                <w:color w:val="222222"/>
                <w:sz w:val="19"/>
              </w:rPr>
              <w:t>Lecture guidée</w:t>
            </w:r>
          </w:p>
        </w:tc>
        <w:tc>
          <w:tcPr>
            <w:tcW w:type="dxa" w:w="6350"/>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Le parcours du schéma, chemin par chemin, dans l'ordre où il se lit.</w:t>
            </w:r>
          </w:p>
        </w:tc>
      </w:tr>
      <w:tr>
        <w:tc>
          <w:tcPr>
            <w:tcW w:type="dxa" w:w="2948"/>
            <w:tcBorders>
              <w:top w:val="single" w:sz="6" w:color="D9D9D9"/>
              <w:left w:val="single" w:sz="6" w:color="D9D9D9"/>
              <w:bottom w:val="single" w:sz="6" w:color="D9D9D9"/>
              <w:right w:val="single" w:sz="6" w:color="D9D9D9"/>
            </w:tcBorders>
          </w:tcPr>
          <w:p>
            <w:pPr>
              <w:spacing w:before="40" w:after="40"/>
            </w:pPr>
            <w:r>
              <w:rPr>
                <w:b/>
                <w:color w:val="222222"/>
                <w:sz w:val="19"/>
              </w:rPr>
              <w:t>Ce que le schéma décide</w:t>
            </w:r>
          </w:p>
        </w:tc>
        <w:tc>
          <w:tcPr>
            <w:tcW w:type="dxa" w:w="6350"/>
            <w:tcBorders>
              <w:top w:val="single" w:sz="6" w:color="D9D9D9"/>
              <w:left w:val="single" w:sz="6" w:color="D9D9D9"/>
              <w:bottom w:val="single" w:sz="6" w:color="D9D9D9"/>
              <w:right w:val="single" w:sz="6" w:color="D9D9D9"/>
            </w:tcBorders>
          </w:tcPr>
          <w:p>
            <w:pPr>
              <w:spacing w:before="40" w:after="40"/>
            </w:pPr>
            <w:r>
              <w:rPr>
                <w:color w:val="222222"/>
                <w:sz w:val="19"/>
              </w:rPr>
              <w:t>Les décisions de conception que le dessin fige, et l'argument qui les tient.</w:t>
            </w:r>
          </w:p>
        </w:tc>
      </w:tr>
      <w:tr>
        <w:tc>
          <w:tcPr>
            <w:tcW w:type="dxa" w:w="2948"/>
            <w:tcBorders>
              <w:top w:val="single" w:sz="6" w:color="D9D9D9"/>
              <w:left w:val="single" w:sz="6" w:color="D9D9D9"/>
              <w:bottom w:val="single" w:sz="6" w:color="D9D9D9"/>
              <w:right w:val="single" w:sz="6" w:color="D9D9D9"/>
            </w:tcBorders>
            <w:shd w:val="clear" w:color="auto" w:fill="F6F8FB"/>
          </w:tcPr>
          <w:p>
            <w:pPr>
              <w:spacing w:before="40" w:after="40"/>
            </w:pPr>
            <w:r>
              <w:rPr>
                <w:b/>
                <w:color w:val="222222"/>
                <w:sz w:val="19"/>
              </w:rPr>
              <w:t>Limites et écarts</w:t>
            </w:r>
          </w:p>
        </w:tc>
        <w:tc>
          <w:tcPr>
            <w:tcW w:type="dxa" w:w="6350"/>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Ce qui est conçu mais non implémenté, ce qui reste à démontrer. L'honnêteté d'ingénierie.</w:t>
            </w:r>
          </w:p>
        </w:tc>
      </w:tr>
    </w:tbl>
    <w:p>
      <w:pPr>
        <w:spacing w:after="40"/>
      </w:pPr>
    </w:p>
    <w:p>
      <w:pPr>
        <w:pStyle w:val="Heading2"/>
      </w:pPr>
      <w:r>
        <w:t>Conventions graphiques communes</w:t>
      </w:r>
    </w:p>
    <w:p>
      <w:r>
        <w:rPr>
          <w:color w:val="222222"/>
          <w:sz w:val="21"/>
        </w:rPr>
        <w:t>Les sept schémas partagent le même vocabulaire visuel. Le connaître évite de le réapprendre à chaque figure :</w:t>
      </w:r>
    </w:p>
    <w:tbl>
      <w:tblPr>
        <w:tblW w:type="auto" w:w="0"/>
        <w:jc w:val="center"/>
        <w:tblLayout w:type="fixed"/>
        <w:tblLook w:firstColumn="1" w:firstRow="1" w:lastColumn="0" w:lastRow="0" w:noHBand="0" w:noVBand="1" w:val="04A0"/>
      </w:tblPr>
      <w:tblGrid>
        <w:gridCol w:w="4649"/>
        <w:gridCol w:w="4649"/>
      </w:tblGrid>
      <w:tr>
        <w:tc>
          <w:tcPr>
            <w:tcW w:type="dxa" w:w="2608"/>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Forme</w:t>
            </w:r>
          </w:p>
        </w:tc>
        <w:tc>
          <w:tcPr>
            <w:tcW w:type="dxa" w:w="6690"/>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Signification</w:t>
            </w:r>
          </w:p>
        </w:tc>
      </w:tr>
      <w:tr>
        <w:tc>
          <w:tcPr>
            <w:tcW w:type="dxa" w:w="2608"/>
            <w:tcBorders>
              <w:top w:val="single" w:sz="6" w:color="D9D9D9"/>
              <w:left w:val="single" w:sz="6" w:color="D9D9D9"/>
              <w:bottom w:val="single" w:sz="6" w:color="D9D9D9"/>
              <w:right w:val="single" w:sz="6" w:color="D9D9D9"/>
            </w:tcBorders>
          </w:tcPr>
          <w:p>
            <w:pPr>
              <w:spacing w:before="40" w:after="40"/>
            </w:pPr>
            <w:r>
              <w:rPr>
                <w:color w:val="222222"/>
                <w:sz w:val="19"/>
              </w:rPr>
              <w:t>Rectangle arrondi (stade)</w:t>
            </w:r>
          </w:p>
        </w:tc>
        <w:tc>
          <w:tcPr>
            <w:tcW w:type="dxa" w:w="6690"/>
            <w:tcBorders>
              <w:top w:val="single" w:sz="6" w:color="D9D9D9"/>
              <w:left w:val="single" w:sz="6" w:color="D9D9D9"/>
              <w:bottom w:val="single" w:sz="6" w:color="D9D9D9"/>
              <w:right w:val="single" w:sz="6" w:color="D9D9D9"/>
            </w:tcBorders>
          </w:tcPr>
          <w:p>
            <w:pPr>
              <w:spacing w:before="40" w:after="40"/>
            </w:pPr>
            <w:r>
              <w:rPr>
                <w:color w:val="222222"/>
                <w:sz w:val="19"/>
              </w:rPr>
              <w:t>Un point d'entrée ou de sortie du flux — le message qui arrive, la réponse qui part.</w:t>
            </w:r>
          </w:p>
        </w:tc>
      </w:tr>
      <w:tr>
        <w:tc>
          <w:tcPr>
            <w:tcW w:type="dxa" w:w="2608"/>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Hexagone</w:t>
            </w:r>
          </w:p>
        </w:tc>
        <w:tc>
          <w:tcPr>
            <w:tcW w:type="dxa" w:w="6690"/>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Un point de contrôle de sécurité : un garde-fou, qui laisse passer ou bloque.</w:t>
            </w:r>
          </w:p>
        </w:tc>
      </w:tr>
      <w:tr>
        <w:tc>
          <w:tcPr>
            <w:tcW w:type="dxa" w:w="2608"/>
            <w:tcBorders>
              <w:top w:val="single" w:sz="6" w:color="D9D9D9"/>
              <w:left w:val="single" w:sz="6" w:color="D9D9D9"/>
              <w:bottom w:val="single" w:sz="6" w:color="D9D9D9"/>
              <w:right w:val="single" w:sz="6" w:color="D9D9D9"/>
            </w:tcBorders>
          </w:tcPr>
          <w:p>
            <w:pPr>
              <w:spacing w:before="40" w:after="40"/>
            </w:pPr>
            <w:r>
              <w:rPr>
                <w:color w:val="222222"/>
                <w:sz w:val="19"/>
              </w:rPr>
              <w:t>Losange</w:t>
            </w:r>
          </w:p>
        </w:tc>
        <w:tc>
          <w:tcPr>
            <w:tcW w:type="dxa" w:w="6690"/>
            <w:tcBorders>
              <w:top w:val="single" w:sz="6" w:color="D9D9D9"/>
              <w:left w:val="single" w:sz="6" w:color="D9D9D9"/>
              <w:bottom w:val="single" w:sz="6" w:color="D9D9D9"/>
              <w:right w:val="single" w:sz="6" w:color="D9D9D9"/>
            </w:tcBorders>
          </w:tcPr>
          <w:p>
            <w:pPr>
              <w:spacing w:before="40" w:after="40"/>
            </w:pPr>
            <w:r>
              <w:rPr>
                <w:color w:val="222222"/>
                <w:sz w:val="19"/>
              </w:rPr>
              <w:t>Un test conditionnel élémentaire à l'intérieur d'un garde-fou (un détecteur).</w:t>
            </w:r>
          </w:p>
        </w:tc>
      </w:tr>
      <w:tr>
        <w:tc>
          <w:tcPr>
            <w:tcW w:type="dxa" w:w="2608"/>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Rectangle</w:t>
            </w:r>
          </w:p>
        </w:tc>
        <w:tc>
          <w:tcPr>
            <w:tcW w:type="dxa" w:w="6690"/>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Une étape de traitement — du code qui s'exécute.</w:t>
            </w:r>
          </w:p>
        </w:tc>
      </w:tr>
      <w:tr>
        <w:tc>
          <w:tcPr>
            <w:tcW w:type="dxa" w:w="2608"/>
            <w:tcBorders>
              <w:top w:val="single" w:sz="6" w:color="D9D9D9"/>
              <w:left w:val="single" w:sz="6" w:color="D9D9D9"/>
              <w:bottom w:val="single" w:sz="6" w:color="D9D9D9"/>
              <w:right w:val="single" w:sz="6" w:color="D9D9D9"/>
            </w:tcBorders>
          </w:tcPr>
          <w:p>
            <w:pPr>
              <w:spacing w:before="40" w:after="40"/>
            </w:pPr>
            <w:r>
              <w:rPr>
                <w:color w:val="222222"/>
                <w:sz w:val="19"/>
              </w:rPr>
              <w:t>Cylindre</w:t>
            </w:r>
          </w:p>
        </w:tc>
        <w:tc>
          <w:tcPr>
            <w:tcW w:type="dxa" w:w="6690"/>
            <w:tcBorders>
              <w:top w:val="single" w:sz="6" w:color="D9D9D9"/>
              <w:left w:val="single" w:sz="6" w:color="D9D9D9"/>
              <w:bottom w:val="single" w:sz="6" w:color="D9D9D9"/>
              <w:right w:val="single" w:sz="6" w:color="D9D9D9"/>
            </w:tcBorders>
          </w:tcPr>
          <w:p>
            <w:pPr>
              <w:spacing w:before="40" w:after="40"/>
            </w:pPr>
            <w:r>
              <w:rPr>
                <w:color w:val="222222"/>
                <w:sz w:val="19"/>
              </w:rPr>
              <w:t>Un magasin de données persistant (base relationnelle ou vectorielle).</w:t>
            </w:r>
          </w:p>
        </w:tc>
      </w:tr>
      <w:tr>
        <w:tc>
          <w:tcPr>
            <w:tcW w:type="dxa" w:w="2608"/>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Flèche pleine</w:t>
            </w:r>
          </w:p>
        </w:tc>
        <w:tc>
          <w:tcPr>
            <w:tcW w:type="dxa" w:w="6690"/>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Le flux principal : la suite de l'exécution.</w:t>
            </w:r>
          </w:p>
        </w:tc>
      </w:tr>
      <w:tr>
        <w:tc>
          <w:tcPr>
            <w:tcW w:type="dxa" w:w="2608"/>
            <w:tcBorders>
              <w:top w:val="single" w:sz="6" w:color="D9D9D9"/>
              <w:left w:val="single" w:sz="6" w:color="D9D9D9"/>
              <w:bottom w:val="single" w:sz="6" w:color="D9D9D9"/>
              <w:right w:val="single" w:sz="6" w:color="D9D9D9"/>
            </w:tcBorders>
          </w:tcPr>
          <w:p>
            <w:pPr>
              <w:spacing w:before="40" w:after="40"/>
            </w:pPr>
            <w:r>
              <w:rPr>
                <w:color w:val="222222"/>
                <w:sz w:val="19"/>
              </w:rPr>
              <w:t>Flèche pointillée</w:t>
            </w:r>
          </w:p>
        </w:tc>
        <w:tc>
          <w:tcPr>
            <w:tcW w:type="dxa" w:w="6690"/>
            <w:tcBorders>
              <w:top w:val="single" w:sz="6" w:color="D9D9D9"/>
              <w:left w:val="single" w:sz="6" w:color="D9D9D9"/>
              <w:bottom w:val="single" w:sz="6" w:color="D9D9D9"/>
              <w:right w:val="single" w:sz="6" w:color="D9D9D9"/>
            </w:tcBorders>
          </w:tcPr>
          <w:p>
            <w:pPr>
              <w:spacing w:before="40" w:after="40"/>
            </w:pPr>
            <w:r>
              <w:rPr>
                <w:color w:val="222222"/>
                <w:sz w:val="19"/>
              </w:rPr>
              <w:t>Un accès à un magasin de données (lecture ou écriture), hors du flux principal.</w:t>
            </w:r>
          </w:p>
        </w:tc>
      </w:tr>
      <w:tr>
        <w:tc>
          <w:tcPr>
            <w:tcW w:type="dxa" w:w="2608"/>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Étiquette sur la flèche</w:t>
            </w:r>
          </w:p>
        </w:tc>
        <w:tc>
          <w:tcPr>
            <w:tcW w:type="dxa" w:w="6690"/>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La condition qui fait emprunter ce chemin (</w:t>
            </w:r>
            <w:r>
              <w:rPr>
                <w:i/>
                <w:color w:val="222222"/>
                <w:sz w:val="19"/>
              </w:rPr>
              <w:t>bloqué</w:t>
            </w:r>
            <w:r>
              <w:rPr>
                <w:color w:val="222222"/>
                <w:sz w:val="19"/>
              </w:rPr>
              <w:t xml:space="preserve">, </w:t>
            </w:r>
            <w:r>
              <w:rPr>
                <w:i/>
                <w:color w:val="222222"/>
                <w:sz w:val="19"/>
              </w:rPr>
              <w:t>autorisé</w:t>
            </w:r>
            <w:r>
              <w:rPr>
                <w:color w:val="222222"/>
                <w:sz w:val="19"/>
              </w:rPr>
              <w:t xml:space="preserve">, </w:t>
            </w:r>
            <w:r>
              <w:rPr>
                <w:i/>
                <w:color w:val="222222"/>
                <w:sz w:val="19"/>
              </w:rPr>
              <w:t>match</w:t>
            </w:r>
            <w:r>
              <w:rPr>
                <w:color w:val="222222"/>
                <w:sz w:val="19"/>
              </w:rPr>
              <w:t xml:space="preserve">, </w:t>
            </w:r>
            <w:r>
              <w:rPr>
                <w:i/>
                <w:color w:val="222222"/>
                <w:sz w:val="19"/>
              </w:rPr>
              <w:t>rien</w:t>
            </w:r>
            <w:r>
              <w:rPr>
                <w:color w:val="222222"/>
                <w:sz w:val="19"/>
              </w:rPr>
              <w:t>…).</w:t>
            </w:r>
          </w:p>
        </w:tc>
      </w:tr>
    </w:tbl>
    <w:p>
      <w:pPr>
        <w:spacing w:after="40"/>
      </w:pPr>
    </w:p>
    <w:p>
      <w:pPr>
        <w:pStyle w:val="Heading2"/>
      </w:pPr>
      <w:r>
        <w:t>Les six exigences mémoire, en référence</w:t>
      </w:r>
    </w:p>
    <w:p>
      <w:r>
        <w:rPr>
          <w:color w:val="222222"/>
          <w:sz w:val="21"/>
        </w:rPr>
        <w:t>Plusieurs schémas se justifient par les exigences imposées au chantier mémoire. Elles sont rappelées ici une fois pour toutes, et citées par leur code (</w:t>
      </w:r>
      <w:r>
        <w:rPr>
          <w:b/>
          <w:color w:val="222222"/>
          <w:sz w:val="21"/>
        </w:rPr>
        <w:t>R1</w:t>
      </w:r>
      <w:r>
        <w:rPr>
          <w:color w:val="222222"/>
          <w:sz w:val="21"/>
        </w:rPr>
        <w:t xml:space="preserve"> à </w:t>
      </w:r>
      <w:r>
        <w:rPr>
          <w:b/>
          <w:color w:val="222222"/>
          <w:sz w:val="21"/>
        </w:rPr>
        <w:t>R6</w:t>
      </w:r>
      <w:r>
        <w:rPr>
          <w:color w:val="222222"/>
          <w:sz w:val="21"/>
        </w:rPr>
        <w:t>) dans la suite du document.</w:t>
      </w:r>
    </w:p>
    <w:tbl>
      <w:tblPr>
        <w:tblW w:type="auto" w:w="0"/>
        <w:jc w:val="center"/>
        <w:tblLayout w:type="fixed"/>
        <w:tblLook w:firstColumn="1" w:firstRow="1" w:lastColumn="0" w:lastRow="0" w:noHBand="0" w:noVBand="1" w:val="04A0"/>
      </w:tblPr>
      <w:tblGrid>
        <w:gridCol w:w="4649"/>
        <w:gridCol w:w="4649"/>
      </w:tblGrid>
      <w:tr>
        <w:tc>
          <w:tcPr>
            <w:tcW w:type="dxa" w:w="1020"/>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Code</w:t>
            </w:r>
          </w:p>
        </w:tc>
        <w:tc>
          <w:tcPr>
            <w:tcW w:type="dxa" w:w="8277"/>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Exigence</w:t>
            </w:r>
          </w:p>
        </w:tc>
      </w:tr>
      <w:tr>
        <w:tc>
          <w:tcPr>
            <w:tcW w:type="dxa" w:w="1020"/>
            <w:tcBorders>
              <w:top w:val="single" w:sz="6" w:color="D9D9D9"/>
              <w:left w:val="single" w:sz="6" w:color="D9D9D9"/>
              <w:bottom w:val="single" w:sz="6" w:color="D9D9D9"/>
              <w:right w:val="single" w:sz="6" w:color="D9D9D9"/>
            </w:tcBorders>
          </w:tcPr>
          <w:p>
            <w:pPr>
              <w:spacing w:before="40" w:after="40"/>
            </w:pPr>
            <w:r>
              <w:rPr>
                <w:b/>
                <w:color w:val="222222"/>
                <w:sz w:val="19"/>
              </w:rPr>
              <w:t>R1</w:t>
            </w:r>
          </w:p>
        </w:tc>
        <w:tc>
          <w:tcPr>
            <w:tcW w:type="dxa" w:w="8277"/>
            <w:tcBorders>
              <w:top w:val="single" w:sz="6" w:color="D9D9D9"/>
              <w:left w:val="single" w:sz="6" w:color="D9D9D9"/>
              <w:bottom w:val="single" w:sz="6" w:color="D9D9D9"/>
              <w:right w:val="single" w:sz="6" w:color="D9D9D9"/>
            </w:tcBorders>
          </w:tcPr>
          <w:p>
            <w:pPr>
              <w:spacing w:before="40" w:after="40"/>
            </w:pPr>
            <w:r>
              <w:rPr>
                <w:color w:val="222222"/>
                <w:sz w:val="19"/>
              </w:rPr>
              <w:t>Tenir le fil d'une conversation d'au moins 30 tours sans perdre une information donnée au tout début.</w:t>
            </w:r>
          </w:p>
        </w:tc>
      </w:tr>
      <w:tr>
        <w:tc>
          <w:tcPr>
            <w:tcW w:type="dxa" w:w="1020"/>
            <w:tcBorders>
              <w:top w:val="single" w:sz="6" w:color="D9D9D9"/>
              <w:left w:val="single" w:sz="6" w:color="D9D9D9"/>
              <w:bottom w:val="single" w:sz="6" w:color="D9D9D9"/>
              <w:right w:val="single" w:sz="6" w:color="D9D9D9"/>
            </w:tcBorders>
            <w:shd w:val="clear" w:color="auto" w:fill="F6F8FB"/>
          </w:tcPr>
          <w:p>
            <w:pPr>
              <w:spacing w:before="40" w:after="40"/>
            </w:pPr>
            <w:r>
              <w:rPr>
                <w:b/>
                <w:color w:val="222222"/>
                <w:sz w:val="19"/>
              </w:rPr>
              <w:t>R2</w:t>
            </w:r>
          </w:p>
        </w:tc>
        <w:tc>
          <w:tcPr>
            <w:tcW w:type="dxa" w:w="8277"/>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Se souvenir, d'une session à l'autre et des jours plus tard, des faits et préférences durables d'un même utilisateur.</w:t>
            </w:r>
          </w:p>
        </w:tc>
      </w:tr>
      <w:tr>
        <w:tc>
          <w:tcPr>
            <w:tcW w:type="dxa" w:w="1020"/>
            <w:tcBorders>
              <w:top w:val="single" w:sz="6" w:color="D9D9D9"/>
              <w:left w:val="single" w:sz="6" w:color="D9D9D9"/>
              <w:bottom w:val="single" w:sz="6" w:color="D9D9D9"/>
              <w:right w:val="single" w:sz="6" w:color="D9D9D9"/>
            </w:tcBorders>
          </w:tcPr>
          <w:p>
            <w:pPr>
              <w:spacing w:before="40" w:after="40"/>
            </w:pPr>
            <w:r>
              <w:rPr>
                <w:b/>
                <w:color w:val="222222"/>
                <w:sz w:val="19"/>
              </w:rPr>
              <w:t>R3</w:t>
            </w:r>
          </w:p>
        </w:tc>
        <w:tc>
          <w:tcPr>
            <w:tcW w:type="dxa" w:w="8277"/>
            <w:tcBorders>
              <w:top w:val="single" w:sz="6" w:color="D9D9D9"/>
              <w:left w:val="single" w:sz="6" w:color="D9D9D9"/>
              <w:bottom w:val="single" w:sz="6" w:color="D9D9D9"/>
              <w:right w:val="single" w:sz="6" w:color="D9D9D9"/>
            </w:tcBorders>
          </w:tcPr>
          <w:p>
            <w:pPr>
              <w:spacing w:before="40" w:after="40"/>
            </w:pPr>
            <w:r>
              <w:rPr>
                <w:color w:val="222222"/>
                <w:sz w:val="19"/>
              </w:rPr>
              <w:t>Isolation stricte : la mémoire d'un utilisateur n'est jamais accessible à un autre.</w:t>
            </w:r>
          </w:p>
        </w:tc>
      </w:tr>
      <w:tr>
        <w:tc>
          <w:tcPr>
            <w:tcW w:type="dxa" w:w="1020"/>
            <w:tcBorders>
              <w:top w:val="single" w:sz="6" w:color="D9D9D9"/>
              <w:left w:val="single" w:sz="6" w:color="D9D9D9"/>
              <w:bottom w:val="single" w:sz="6" w:color="D9D9D9"/>
              <w:right w:val="single" w:sz="6" w:color="D9D9D9"/>
            </w:tcBorders>
            <w:shd w:val="clear" w:color="auto" w:fill="F6F8FB"/>
          </w:tcPr>
          <w:p>
            <w:pPr>
              <w:spacing w:before="40" w:after="40"/>
            </w:pPr>
            <w:r>
              <w:rPr>
                <w:b/>
                <w:color w:val="222222"/>
                <w:sz w:val="19"/>
              </w:rPr>
              <w:t>R4</w:t>
            </w:r>
          </w:p>
        </w:tc>
        <w:tc>
          <w:tcPr>
            <w:tcW w:type="dxa" w:w="8277"/>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Tenir la fenêtre de contexte : au-delà d'un budget de tokens, résumer ou sélectionner sans perdre l'information critique.</w:t>
            </w:r>
          </w:p>
        </w:tc>
      </w:tr>
      <w:tr>
        <w:tc>
          <w:tcPr>
            <w:tcW w:type="dxa" w:w="1020"/>
            <w:tcBorders>
              <w:top w:val="single" w:sz="6" w:color="D9D9D9"/>
              <w:left w:val="single" w:sz="6" w:color="D9D9D9"/>
              <w:bottom w:val="single" w:sz="6" w:color="D9D9D9"/>
              <w:right w:val="single" w:sz="6" w:color="D9D9D9"/>
            </w:tcBorders>
          </w:tcPr>
          <w:p>
            <w:pPr>
              <w:spacing w:before="40" w:after="40"/>
            </w:pPr>
            <w:r>
              <w:rPr>
                <w:b/>
                <w:color w:val="222222"/>
                <w:sz w:val="19"/>
              </w:rPr>
              <w:t>R5</w:t>
            </w:r>
          </w:p>
        </w:tc>
        <w:tc>
          <w:tcPr>
            <w:tcW w:type="dxa" w:w="8277"/>
            <w:tcBorders>
              <w:top w:val="single" w:sz="6" w:color="D9D9D9"/>
              <w:left w:val="single" w:sz="6" w:color="D9D9D9"/>
              <w:bottom w:val="single" w:sz="6" w:color="D9D9D9"/>
              <w:right w:val="single" w:sz="6" w:color="D9D9D9"/>
            </w:tcBorders>
          </w:tcPr>
          <w:p>
            <w:pPr>
              <w:spacing w:before="40" w:after="40"/>
            </w:pPr>
            <w:r>
              <w:rPr>
                <w:color w:val="222222"/>
                <w:sz w:val="19"/>
              </w:rPr>
              <w:t>Droit à l'oubli (RGPD) : un utilisateur peut demander d'oublier une information, avec suppression effective et vérifiable.</w:t>
            </w:r>
          </w:p>
        </w:tc>
      </w:tr>
      <w:tr>
        <w:tc>
          <w:tcPr>
            <w:tcW w:type="dxa" w:w="1020"/>
            <w:tcBorders>
              <w:top w:val="single" w:sz="6" w:color="D9D9D9"/>
              <w:left w:val="single" w:sz="6" w:color="D9D9D9"/>
              <w:bottom w:val="single" w:sz="6" w:color="D9D9D9"/>
              <w:right w:val="single" w:sz="6" w:color="D9D9D9"/>
            </w:tcBorders>
            <w:shd w:val="clear" w:color="auto" w:fill="F6F8FB"/>
          </w:tcPr>
          <w:p>
            <w:pPr>
              <w:spacing w:before="40" w:after="40"/>
            </w:pPr>
            <w:r>
              <w:rPr>
                <w:b/>
                <w:color w:val="222222"/>
                <w:sz w:val="19"/>
              </w:rPr>
              <w:t>R6</w:t>
            </w:r>
          </w:p>
        </w:tc>
        <w:tc>
          <w:tcPr>
            <w:tcW w:type="dxa" w:w="8277"/>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Traçabilité : on doit pouvoir inspecter ce que l'agent a retenu d'un utilisateur.</w:t>
            </w:r>
          </w:p>
        </w:tc>
      </w:tr>
    </w:tbl>
    <w:p>
      <w:pPr>
        <w:spacing w:after="40"/>
      </w:pPr>
    </w:p>
    <w:tbl>
      <w:tblPr>
        <w:tblW w:type="auto" w:w="0"/>
        <w:jc w:val="center"/>
        <w:tblLayout w:type="fixed"/>
        <w:tblLook w:firstColumn="1" w:firstRow="1" w:lastColumn="0" w:lastRow="0" w:noHBand="0" w:noVBand="1" w:val="04A0"/>
      </w:tblPr>
      <w:tblGrid>
        <w:gridCol w:w="9298"/>
      </w:tblGrid>
      <w:tr>
        <w:tc>
          <w:tcPr>
            <w:tcW w:type="dxa" w:w="9298"/>
            <w:tcBorders>
              <w:top w:val="single" w:sz="4" w:color="F2F5F9"/>
              <w:left w:val="single" w:sz="18" w:color="2E5C8A"/>
              <w:bottom w:val="single" w:sz="4" w:color="F2F5F9"/>
              <w:right w:val="single" w:sz="4" w:color="F2F5F9"/>
            </w:tcBorders>
            <w:shd w:val="clear" w:color="auto" w:fill="F2F5F9"/>
          </w:tcPr>
          <w:p>
            <w:pPr>
              <w:spacing w:before="80" w:after="40"/>
            </w:pPr>
            <w:r>
              <w:rPr>
                <w:rFonts w:ascii="Calibri" w:hAnsi="Calibri"/>
                <w:b/>
                <w:color w:val="2E5C8A"/>
                <w:sz w:val="17"/>
              </w:rPr>
              <w:t>VUE D'ENSEMBLE DES SEPT SCHÉMAS</w:t>
            </w:r>
          </w:p>
          <w:p>
            <w:pPr>
              <w:spacing w:after="100"/>
            </w:pPr>
            <w:r>
              <w:rPr>
                <w:color w:val="222222"/>
                <w:sz w:val="20"/>
              </w:rPr>
              <w:t xml:space="preserve">Les quatre premiers décrivent </w:t>
            </w:r>
            <w:r>
              <w:rPr>
                <w:b/>
                <w:color w:val="222222"/>
                <w:sz w:val="20"/>
              </w:rPr>
              <w:t>ce que fait l'agent</w:t>
            </w:r>
            <w:r>
              <w:rPr>
                <w:color w:val="222222"/>
                <w:sz w:val="20"/>
              </w:rPr>
              <w:t xml:space="preserve"> : le parcours d'un message (§1), l'organisation de sa mémoire (§2), la structure de son code (§3), la chronologie de ses appels (§4). Les trois derniers décrivent </w:t>
            </w:r>
            <w:r>
              <w:rPr>
                <w:b/>
                <w:color w:val="222222"/>
                <w:sz w:val="20"/>
              </w:rPr>
              <w:t>ce qui l'empêche de mal faire</w:t>
            </w:r>
            <w:r>
              <w:rPr>
                <w:color w:val="222222"/>
                <w:sz w:val="20"/>
              </w:rPr>
              <w:t xml:space="preserve"> : le filtre d'entrée (§5), le filtre de sortie (§6), et le principe qui donne aux deux leur forme (§7).</w:t>
            </w:r>
          </w:p>
        </w:tc>
      </w:tr>
    </w:tbl>
    <w:p>
      <w:pPr>
        <w:spacing w:after="40"/>
      </w:pPr>
    </w:p>
    <w:p>
      <w:r>
        <w:br w:type="page"/>
      </w:r>
    </w:p>
    <w:p>
      <w:pPr>
        <w:pStyle w:val="Heading1"/>
      </w:pPr>
      <w:r>
        <w:t>1. Architecture globale — le parcours d'un message</w:t>
      </w:r>
    </w:p>
    <w:p>
      <w:pPr>
        <w:spacing w:after="200"/>
      </w:pPr>
      <w:r>
        <w:rPr>
          <w:i/>
          <w:color w:val="334455"/>
          <w:sz w:val="22"/>
        </w:rPr>
        <w:t>Question posée : par quelles étapes passe un message client, de son arrivée à la réponse ?</w:t>
      </w:r>
    </w:p>
    <w:p>
      <w:pPr>
        <w:keepNext/>
        <w:spacing w:before="120" w:after="60"/>
        <w:jc w:val="center"/>
      </w:pPr>
      <w:r>
        <w:drawing>
          <wp:inline xmlns:a="http://schemas.openxmlformats.org/drawingml/2006/main" xmlns:pic="http://schemas.openxmlformats.org/drawingml/2006/picture">
            <wp:extent cx="4756569" cy="7380000"/>
            <wp:docPr id="1" name="Picture 1"/>
            <wp:cNvGraphicFramePr>
              <a:graphicFrameLocks noChangeAspect="1"/>
            </wp:cNvGraphicFramePr>
            <a:graphic>
              <a:graphicData uri="http://schemas.openxmlformats.org/drawingml/2006/picture">
                <pic:pic>
                  <pic:nvPicPr>
                    <pic:cNvPr id="0" name="architecture-globale-le-parcours-d-un-message.png"/>
                    <pic:cNvPicPr/>
                  </pic:nvPicPr>
                  <pic:blipFill>
                    <a:blip r:embed="rId10"/>
                    <a:stretch>
                      <a:fillRect/>
                    </a:stretch>
                  </pic:blipFill>
                  <pic:spPr>
                    <a:xfrm>
                      <a:off x="0" y="0"/>
                      <a:ext cx="4756569" cy="7380000"/>
                    </a:xfrm>
                    <a:prstGeom prst="rect"/>
                  </pic:spPr>
                </pic:pic>
              </a:graphicData>
            </a:graphic>
          </wp:inline>
        </w:drawing>
      </w:r>
    </w:p>
    <w:p>
      <w:pPr>
        <w:spacing w:after="240"/>
        <w:jc w:val="center"/>
      </w:pPr>
      <w:r>
        <w:rPr>
          <w:i/>
          <w:color w:val="595959"/>
          <w:sz w:val="18"/>
        </w:rPr>
        <w:t xml:space="preserve">Figure 1 — Le pipeline de traitement d'un message, de l'entrée à la réponse. Vue conceptuelle, calée sur </w:t>
      </w:r>
      <w:r>
        <w:rPr>
          <w:rFonts w:ascii="Consolas" w:hAnsi="Consolas"/>
          <w:i/>
          <w:color w:val="595959"/>
          <w:sz w:val="16"/>
        </w:rPr>
        <w:t>agent.respond()</w:t>
      </w:r>
      <w:r>
        <w:rPr>
          <w:i/>
          <w:color w:val="595959"/>
          <w:sz w:val="18"/>
        </w:rPr>
        <w:t>.</w:t>
      </w:r>
    </w:p>
    <w:p>
      <w:pPr>
        <w:pStyle w:val="Heading2"/>
      </w:pPr>
      <w:r>
        <w:t>Ce que montre le schéma</w:t>
      </w:r>
    </w:p>
    <w:p>
      <w:r>
        <w:rPr>
          <w:color w:val="222222"/>
          <w:sz w:val="21"/>
        </w:rPr>
        <w:t xml:space="preserve">C'est la </w:t>
      </w:r>
      <w:r>
        <w:rPr>
          <w:b/>
          <w:color w:val="222222"/>
          <w:sz w:val="21"/>
        </w:rPr>
        <w:t>vue de flux de données</w:t>
      </w:r>
      <w:r>
        <w:rPr>
          <w:color w:val="222222"/>
          <w:sz w:val="21"/>
        </w:rPr>
        <w:t xml:space="preserve"> : les six étapes que traverse un message, dans l'ordre. Elle répond à la question </w:t>
      </w:r>
      <w:r>
        <w:rPr>
          <w:i/>
          <w:color w:val="222222"/>
          <w:sz w:val="21"/>
        </w:rPr>
        <w:t>« que se passe-t-il, et dans quel ordre ? »</w:t>
      </w:r>
      <w:r>
        <w:rPr>
          <w:color w:val="222222"/>
          <w:sz w:val="21"/>
        </w:rPr>
        <w:t>. Elle ne dit rien des classes ni des méthodes — c'est le rôle des §3 et §4. Cette séparation est volontaire : on peut expliquer le pipeline à un interlocuteur non technique sans jamais prononcer un nom de classe.</w:t>
      </w:r>
    </w:p>
    <w:p>
      <w:r>
        <w:rPr>
          <w:color w:val="222222"/>
          <w:sz w:val="21"/>
        </w:rPr>
        <w:t xml:space="preserve">La lecture verticale donne immédiatement le principe de sécurité de l'agent : </w:t>
      </w:r>
      <w:r>
        <w:rPr>
          <w:b/>
          <w:color w:val="222222"/>
          <w:sz w:val="21"/>
        </w:rPr>
        <w:t>le LLM est enfermé au milieu</w:t>
      </w:r>
      <w:r>
        <w:rPr>
          <w:color w:val="222222"/>
          <w:sz w:val="21"/>
        </w:rPr>
        <w:t>. Rien n'entre sans passer l'étape 1, rien ne sort sans passer l'étape 4. Le modèle de langage n'est jamais en contact direct ni avec le client, ni avec sa propre réponse publiée.</w:t>
      </w:r>
    </w:p>
    <w:p>
      <w:pPr>
        <w:pStyle w:val="Heading2"/>
      </w:pPr>
      <w:r>
        <w:t>Lecture guidée</w:t>
      </w:r>
    </w:p>
    <w:p>
      <w:pPr>
        <w:pStyle w:val="ListNumber"/>
        <w:spacing w:after="60"/>
        <w:ind w:left="397" w:hanging="227"/>
      </w:pPr>
      <w:r>
        <w:rPr>
          <w:b/>
          <w:color w:val="222222"/>
          <w:sz w:val="21"/>
        </w:rPr>
        <w:t>Le message arrive</w:t>
      </w:r>
      <w:r>
        <w:rPr>
          <w:color w:val="222222"/>
          <w:sz w:val="21"/>
        </w:rPr>
        <w:t xml:space="preserve"> (rectangle arrondi, en haut) et entre immédiatement dans le premier hexagone.</w:t>
      </w:r>
    </w:p>
    <w:p>
      <w:pPr>
        <w:pStyle w:val="ListNumber"/>
        <w:spacing w:after="60"/>
        <w:ind w:left="397" w:hanging="227"/>
      </w:pPr>
      <w:r>
        <w:rPr>
          <w:b/>
          <w:color w:val="222222"/>
          <w:sz w:val="21"/>
        </w:rPr>
        <w:t>Étape 1 — garde-fou d'entrée.</w:t>
      </w:r>
      <w:r>
        <w:rPr>
          <w:color w:val="222222"/>
          <w:sz w:val="21"/>
        </w:rPr>
        <w:t xml:space="preserve"> Six familles de contenus sont testées : haine, violence, sexuel, injection de prompt, secrets, périmètre. Deux sorties : </w:t>
      </w:r>
      <w:r>
        <w:rPr>
          <w:i/>
          <w:color w:val="222222"/>
          <w:sz w:val="21"/>
        </w:rPr>
        <w:t>bloqué</w:t>
      </w:r>
      <w:r>
        <w:rPr>
          <w:color w:val="222222"/>
          <w:sz w:val="21"/>
        </w:rPr>
        <w:t xml:space="preserve"> part à gauche vers un refus poli ; </w:t>
      </w:r>
      <w:r>
        <w:rPr>
          <w:i/>
          <w:color w:val="222222"/>
          <w:sz w:val="21"/>
        </w:rPr>
        <w:t>autorisé</w:t>
      </w:r>
      <w:r>
        <w:rPr>
          <w:color w:val="222222"/>
          <w:sz w:val="21"/>
        </w:rPr>
        <w:t xml:space="preserve"> continue vers la droite. Détail du contenu de cet hexagone au §5.</w:t>
      </w:r>
    </w:p>
    <w:p>
      <w:pPr>
        <w:pStyle w:val="ListNumber"/>
        <w:spacing w:after="60"/>
        <w:ind w:left="397" w:hanging="227"/>
      </w:pPr>
      <w:r>
        <w:rPr>
          <w:b/>
          <w:color w:val="222222"/>
          <w:sz w:val="21"/>
        </w:rPr>
        <w:t>Étape 2 — lecture mémoire.</w:t>
      </w:r>
      <w:r>
        <w:rPr>
          <w:color w:val="222222"/>
          <w:sz w:val="21"/>
        </w:rPr>
        <w:t xml:space="preserve"> L'agent assemble sa mémoire de travail. Les deux flèches pointillées vers les cylindres montrent d'où elle vient : le magasin relationnel (</w:t>
      </w:r>
      <w:r>
        <w:rPr>
          <w:rFonts w:ascii="Consolas" w:hAnsi="Consolas"/>
          <w:i w:val="0"/>
          <w:color w:val="A31D1D"/>
          <w:sz w:val="19"/>
        </w:rPr>
        <w:t>messages</w:t>
      </w:r>
      <w:r>
        <w:rPr>
          <w:color w:val="222222"/>
          <w:sz w:val="21"/>
        </w:rPr>
        <w:t xml:space="preserve">, </w:t>
      </w:r>
      <w:r>
        <w:rPr>
          <w:rFonts w:ascii="Consolas" w:hAnsi="Consolas"/>
          <w:i w:val="0"/>
          <w:color w:val="A31D1D"/>
          <w:sz w:val="19"/>
        </w:rPr>
        <w:t>faits_semantiques</w:t>
      </w:r>
      <w:r>
        <w:rPr>
          <w:color w:val="222222"/>
          <w:sz w:val="21"/>
        </w:rPr>
        <w:t>) et le magasin vectoriel (</w:t>
      </w:r>
      <w:r>
        <w:rPr>
          <w:rFonts w:ascii="Consolas" w:hAnsi="Consolas"/>
          <w:i w:val="0"/>
          <w:color w:val="A31D1D"/>
          <w:sz w:val="19"/>
        </w:rPr>
        <w:t>episodes</w:t>
      </w:r>
      <w:r>
        <w:rPr>
          <w:color w:val="222222"/>
          <w:sz w:val="21"/>
        </w:rPr>
        <w:t>).</w:t>
      </w:r>
    </w:p>
    <w:p>
      <w:pPr>
        <w:pStyle w:val="ListNumber"/>
        <w:spacing w:after="60"/>
        <w:ind w:left="397" w:hanging="227"/>
      </w:pPr>
      <w:r>
        <w:rPr>
          <w:b/>
          <w:color w:val="222222"/>
          <w:sz w:val="21"/>
        </w:rPr>
        <w:t>Étape 3 — LLM et outils.</w:t>
      </w:r>
      <w:r>
        <w:rPr>
          <w:color w:val="222222"/>
          <w:sz w:val="21"/>
        </w:rPr>
        <w:t xml:space="preserve"> Le seul endroit où le modèle intervient. Trois familles d'actions : la lecture (consulter une commande, un suivi, un stock), l'action </w:t>
      </w:r>
      <w:r>
        <w:rPr>
          <w:i/>
          <w:color w:val="222222"/>
          <w:sz w:val="21"/>
        </w:rPr>
        <w:t>confirmée</w:t>
      </w:r>
      <w:r>
        <w:rPr>
          <w:color w:val="222222"/>
          <w:sz w:val="21"/>
        </w:rPr>
        <w:t xml:space="preserve"> (modifier, annuler, rembourser — jamais sans confirmation), et l'escalade humaine.</w:t>
      </w:r>
    </w:p>
    <w:p>
      <w:pPr>
        <w:pStyle w:val="ListNumber"/>
        <w:spacing w:after="60"/>
        <w:ind w:left="397" w:hanging="227"/>
      </w:pPr>
      <w:r>
        <w:rPr>
          <w:b/>
          <w:color w:val="222222"/>
          <w:sz w:val="21"/>
        </w:rPr>
        <w:t>Étape 4 — garde-fou de sortie.</w:t>
      </w:r>
      <w:r>
        <w:rPr>
          <w:color w:val="222222"/>
          <w:sz w:val="21"/>
        </w:rPr>
        <w:t xml:space="preserve"> La réponse produite est inspectée avant publication : PII, secrets, hors périmètre, toxicité. Si elle est bloquée, elle est neutralisée. Détail au §6.</w:t>
      </w:r>
    </w:p>
    <w:p>
      <w:pPr>
        <w:pStyle w:val="ListNumber"/>
        <w:spacing w:after="60"/>
        <w:ind w:left="397" w:hanging="227"/>
      </w:pPr>
      <w:r>
        <w:rPr>
          <w:b/>
          <w:color w:val="222222"/>
          <w:sz w:val="21"/>
        </w:rPr>
        <w:t>Étape 5 — écriture mémoire.</w:t>
      </w:r>
      <w:r>
        <w:rPr>
          <w:color w:val="222222"/>
          <w:sz w:val="21"/>
        </w:rPr>
        <w:t xml:space="preserve"> Le tour est enregistré et les faits durables sont extraits (règles puis LLM, avec anti-doublon). La flèche pointillée </w:t>
      </w:r>
      <w:r>
        <w:rPr>
          <w:i/>
          <w:color w:val="222222"/>
          <w:sz w:val="21"/>
        </w:rPr>
        <w:t>écrit</w:t>
      </w:r>
      <w:r>
        <w:rPr>
          <w:color w:val="222222"/>
          <w:sz w:val="21"/>
        </w:rPr>
        <w:t xml:space="preserve"> va vers le magasin relationnel.</w:t>
      </w:r>
    </w:p>
    <w:p>
      <w:pPr>
        <w:pStyle w:val="ListNumber"/>
        <w:spacing w:after="60"/>
        <w:ind w:left="397" w:hanging="227"/>
      </w:pPr>
      <w:r>
        <w:rPr>
          <w:b/>
          <w:color w:val="222222"/>
          <w:sz w:val="21"/>
        </w:rPr>
        <w:t>Étape 6 — la réponse part au client.</w:t>
      </w:r>
    </w:p>
    <w:tbl>
      <w:tblPr>
        <w:tblW w:type="auto" w:w="0"/>
        <w:jc w:val="center"/>
        <w:tblLayout w:type="fixed"/>
        <w:tblLook w:firstColumn="1" w:firstRow="1" w:lastColumn="0" w:lastRow="0" w:noHBand="0" w:noVBand="1" w:val="04A0"/>
      </w:tblPr>
      <w:tblGrid>
        <w:gridCol w:w="9298"/>
      </w:tblGrid>
      <w:tr>
        <w:tc>
          <w:tcPr>
            <w:tcW w:type="dxa" w:w="9298"/>
            <w:tcBorders>
              <w:top w:val="single" w:sz="4" w:color="F2F5F9"/>
              <w:left w:val="single" w:sz="18" w:color="2E5C8A"/>
              <w:bottom w:val="single" w:sz="4" w:color="F2F5F9"/>
              <w:right w:val="single" w:sz="4" w:color="F2F5F9"/>
            </w:tcBorders>
            <w:shd w:val="clear" w:color="auto" w:fill="F2F5F9"/>
          </w:tcPr>
          <w:p>
            <w:pPr>
              <w:spacing w:before="80" w:after="40"/>
            </w:pPr>
            <w:r>
              <w:rPr>
                <w:rFonts w:ascii="Calibri" w:hAnsi="Calibri"/>
                <w:b/>
                <w:color w:val="2E5C8A"/>
                <w:sz w:val="17"/>
              </w:rPr>
              <w:t>LE DÉTAIL QUI SE DÉFEND</w:t>
            </w:r>
          </w:p>
          <w:p>
            <w:pPr>
              <w:spacing w:after="100"/>
            </w:pPr>
            <w:r>
              <w:rPr>
                <w:color w:val="222222"/>
                <w:sz w:val="20"/>
              </w:rPr>
              <w:t>Regardez où convergent les deux chemins de refus (</w:t>
            </w:r>
            <w:r>
              <w:rPr>
                <w:i/>
                <w:color w:val="222222"/>
                <w:sz w:val="20"/>
              </w:rPr>
              <w:t>Refus poli</w:t>
            </w:r>
            <w:r>
              <w:rPr>
                <w:color w:val="222222"/>
                <w:sz w:val="20"/>
              </w:rPr>
              <w:t xml:space="preserve"> et </w:t>
            </w:r>
            <w:r>
              <w:rPr>
                <w:i/>
                <w:color w:val="222222"/>
                <w:sz w:val="20"/>
              </w:rPr>
              <w:t>Réponse neutralisée</w:t>
            </w:r>
            <w:r>
              <w:rPr>
                <w:color w:val="222222"/>
                <w:sz w:val="20"/>
              </w:rPr>
              <w:t xml:space="preserve">) : </w:t>
            </w:r>
            <w:r>
              <w:rPr>
                <w:b/>
                <w:color w:val="222222"/>
                <w:sz w:val="20"/>
              </w:rPr>
              <w:t>ils rejoignent l'étape 5</w:t>
            </w:r>
            <w:r>
              <w:rPr>
                <w:color w:val="222222"/>
                <w:sz w:val="20"/>
              </w:rPr>
              <w:t xml:space="preserve">. Un blocage n'est pas une sortie de secours qui court-circuite le pipeline — il est </w:t>
            </w:r>
            <w:r>
              <w:rPr>
                <w:b/>
                <w:color w:val="222222"/>
                <w:sz w:val="20"/>
              </w:rPr>
              <w:t>écrit en mémoire comme n'importe quel tour</w:t>
            </w:r>
            <w:r>
              <w:rPr>
                <w:color w:val="222222"/>
                <w:sz w:val="20"/>
              </w:rPr>
              <w:t>. C'est ce qui permet de tracer les blocages, de mesurer le taux de faux positifs, et de ne pas perdre le fil de la conversation après un refus.</w:t>
            </w:r>
          </w:p>
        </w:tc>
      </w:tr>
    </w:tbl>
    <w:p>
      <w:pPr>
        <w:spacing w:after="40"/>
      </w:pPr>
    </w:p>
    <w:p>
      <w:pPr>
        <w:pStyle w:val="Heading2"/>
      </w:pPr>
      <w:r>
        <w:t>Ce que le schéma décide</w:t>
      </w:r>
    </w:p>
    <w:p>
      <w:pPr>
        <w:pStyle w:val="ListBullet"/>
        <w:spacing w:after="60"/>
        <w:ind w:left="340" w:hanging="198"/>
      </w:pPr>
      <w:r>
        <w:rPr>
          <w:b/>
          <w:color w:val="222222"/>
          <w:sz w:val="21"/>
        </w:rPr>
        <w:t>Deux points de contrôle, pas un.</w:t>
      </w:r>
      <w:r>
        <w:rPr>
          <w:color w:val="222222"/>
          <w:sz w:val="21"/>
        </w:rPr>
        <w:t xml:space="preserve"> L'entrée arrête ce que le client envoie ; la sortie arrête ce que l'agent pourrait produire, même s'il a été manipulé. Certaines menaces existent des deux côtés.</w:t>
      </w:r>
    </w:p>
    <w:p>
      <w:pPr>
        <w:pStyle w:val="ListBullet"/>
        <w:spacing w:after="60"/>
        <w:ind w:left="340" w:hanging="198"/>
      </w:pPr>
      <w:r>
        <w:rPr>
          <w:b/>
          <w:color w:val="222222"/>
          <w:sz w:val="21"/>
        </w:rPr>
        <w:t>Les garde-fous sont des étapes de code, extérieures au LLM.</w:t>
      </w:r>
      <w:r>
        <w:rPr>
          <w:color w:val="222222"/>
          <w:sz w:val="21"/>
        </w:rPr>
        <w:t xml:space="preserve"> C'est la défense anti-injection la plus solide : un message ne peut pas désactiver du code qu'il ne contrôle pas. Un garde-fou qui ne serait qu'une consigne dans le prompt, lui, se négocie par la parole.</w:t>
      </w:r>
    </w:p>
    <w:p>
      <w:pPr>
        <w:pStyle w:val="ListBullet"/>
        <w:spacing w:after="60"/>
        <w:ind w:left="340" w:hanging="198"/>
      </w:pPr>
      <w:r>
        <w:rPr>
          <w:b/>
          <w:color w:val="222222"/>
          <w:sz w:val="21"/>
        </w:rPr>
        <w:t>La mémoire encadre le LLM</w:t>
      </w:r>
      <w:r>
        <w:rPr>
          <w:color w:val="222222"/>
          <w:sz w:val="21"/>
        </w:rPr>
        <w:t xml:space="preserve"> (lecture avant, écriture après) plutôt que de vivre à l'intérieur. Elle reste ainsi inspectable (</w:t>
      </w:r>
      <w:r>
        <w:rPr>
          <w:b/>
          <w:color w:val="222222"/>
          <w:sz w:val="21"/>
        </w:rPr>
        <w:t>R6</w:t>
      </w:r>
      <w:r>
        <w:rPr>
          <w:color w:val="222222"/>
          <w:sz w:val="21"/>
        </w:rPr>
        <w:t>) et supprimable (</w:t>
      </w:r>
      <w:r>
        <w:rPr>
          <w:b/>
          <w:color w:val="222222"/>
          <w:sz w:val="21"/>
        </w:rPr>
        <w:t>R5</w:t>
      </w:r>
      <w:r>
        <w:rPr>
          <w:color w:val="222222"/>
          <w:sz w:val="21"/>
        </w:rPr>
        <w:t>) indépendamment du modèle.</w:t>
      </w:r>
    </w:p>
    <w:p>
      <w:pPr>
        <w:pStyle w:val="ListBullet"/>
        <w:spacing w:after="60"/>
        <w:ind w:left="340" w:hanging="198"/>
      </w:pPr>
      <w:r>
        <w:rPr>
          <w:b/>
          <w:color w:val="222222"/>
          <w:sz w:val="21"/>
        </w:rPr>
        <w:t>Toute action irréversible passe par une confirmation ou une escalade.</w:t>
      </w:r>
      <w:r>
        <w:rPr>
          <w:color w:val="222222"/>
          <w:sz w:val="21"/>
        </w:rPr>
        <w:t xml:space="preserve"> Remboursement au-delà de 50 €, colis déjà expédié, litige d'authenticité : l'agent ne tranche pas seul.</w:t>
      </w:r>
    </w:p>
    <w:p>
      <w:pPr>
        <w:pStyle w:val="Heading2"/>
      </w:pPr>
      <w:r>
        <w:t>Limites et écarts</w:t>
      </w:r>
    </w:p>
    <w:p>
      <w:pPr>
        <w:pStyle w:val="ListBullet"/>
        <w:spacing w:after="60"/>
        <w:ind w:left="340" w:hanging="198"/>
      </w:pPr>
      <w:r>
        <w:rPr>
          <w:color w:val="222222"/>
          <w:sz w:val="21"/>
        </w:rPr>
        <w:t xml:space="preserve">⚠️ </w:t>
      </w:r>
      <w:r>
        <w:rPr>
          <w:b/>
          <w:color w:val="222222"/>
          <w:sz w:val="21"/>
        </w:rPr>
        <w:t>Écart code / conception assumé</w:t>
      </w:r>
      <w:r>
        <w:rPr>
          <w:color w:val="222222"/>
          <w:sz w:val="21"/>
        </w:rPr>
        <w:t xml:space="preserve"> : l'étape 2 (</w:t>
      </w:r>
      <w:r>
        <w:rPr>
          <w:rFonts w:ascii="Consolas" w:hAnsi="Consolas"/>
          <w:i w:val="0"/>
          <w:color w:val="A31D1D"/>
          <w:sz w:val="19"/>
        </w:rPr>
        <w:t>memory.read</w:t>
      </w:r>
      <w:r>
        <w:rPr>
          <w:color w:val="222222"/>
          <w:sz w:val="21"/>
        </w:rPr>
        <w:t>) est bien appelée, mais son résultat n'est pas encore injecté dans le prompt du LLM (</w:t>
      </w:r>
      <w:r>
        <w:rPr>
          <w:rFonts w:ascii="Consolas" w:hAnsi="Consolas"/>
          <w:i w:val="0"/>
          <w:color w:val="A31D1D"/>
          <w:sz w:val="19"/>
        </w:rPr>
        <w:t>agent.py</w:t>
      </w:r>
      <w:r>
        <w:rPr>
          <w:color w:val="222222"/>
          <w:sz w:val="21"/>
        </w:rPr>
        <w:t>). Le chaînon existe, il n'est pas branché.</w:t>
      </w:r>
    </w:p>
    <w:p>
      <w:pPr>
        <w:pStyle w:val="ListBullet"/>
        <w:spacing w:after="60"/>
        <w:ind w:left="340" w:hanging="198"/>
      </w:pPr>
      <w:r>
        <w:rPr>
          <w:color w:val="222222"/>
          <w:sz w:val="21"/>
        </w:rPr>
        <w:t xml:space="preserve">⚠️ Le magasin vectoriel </w:t>
      </w:r>
      <w:r>
        <w:rPr>
          <w:rFonts w:ascii="Consolas" w:hAnsi="Consolas"/>
          <w:i w:val="0"/>
          <w:color w:val="A31D1D"/>
          <w:sz w:val="19"/>
        </w:rPr>
        <w:t>episodes</w:t>
      </w:r>
      <w:r>
        <w:rPr>
          <w:color w:val="222222"/>
          <w:sz w:val="21"/>
        </w:rPr>
        <w:t xml:space="preserve"> est </w:t>
      </w:r>
      <w:r>
        <w:rPr>
          <w:b/>
          <w:color w:val="222222"/>
          <w:sz w:val="21"/>
        </w:rPr>
        <w:t>conçu mais non construit</w:t>
      </w:r>
      <w:r>
        <w:rPr>
          <w:color w:val="222222"/>
          <w:sz w:val="21"/>
        </w:rPr>
        <w:t xml:space="preserve"> — il figure au schéma avec la mention explicite </w:t>
      </w:r>
      <w:r>
        <w:rPr>
          <w:i/>
          <w:color w:val="222222"/>
          <w:sz w:val="21"/>
        </w:rPr>
        <w:t>« conçu, non impl. »</w:t>
      </w:r>
      <w:r>
        <w:rPr>
          <w:color w:val="222222"/>
          <w:sz w:val="21"/>
        </w:rPr>
        <w:t>. Les cas de test fournis ne l'exercent pas, la priorité de développement est donc allée au sémantique relationnel, qui est mesuré.</w:t>
      </w:r>
    </w:p>
    <w:p>
      <w:r>
        <w:br w:type="page"/>
      </w:r>
    </w:p>
    <w:p>
      <w:pPr>
        <w:pStyle w:val="Heading1"/>
      </w:pPr>
      <w:r>
        <w:t>2. Architecture mémoire</w:t>
      </w:r>
    </w:p>
    <w:p>
      <w:pPr>
        <w:spacing w:after="200"/>
      </w:pPr>
      <w:r>
        <w:rPr>
          <w:i/>
          <w:color w:val="334455"/>
          <w:sz w:val="22"/>
        </w:rPr>
        <w:t>Question posée : de quoi est faite la mémoire de l'agent, et où vit chaque type de souvenir ?</w:t>
      </w:r>
    </w:p>
    <w:p>
      <w:pPr>
        <w:keepNext/>
        <w:spacing w:before="120" w:after="60"/>
        <w:jc w:val="center"/>
      </w:pPr>
      <w:r>
        <w:drawing>
          <wp:inline xmlns:a="http://schemas.openxmlformats.org/drawingml/2006/main" xmlns:pic="http://schemas.openxmlformats.org/drawingml/2006/picture">
            <wp:extent cx="5903999" cy="4766344"/>
            <wp:docPr id="2" name="Picture 2"/>
            <wp:cNvGraphicFramePr>
              <a:graphicFrameLocks noChangeAspect="1"/>
            </wp:cNvGraphicFramePr>
            <a:graphic>
              <a:graphicData uri="http://schemas.openxmlformats.org/drawingml/2006/picture">
                <pic:pic>
                  <pic:nvPicPr>
                    <pic:cNvPr id="0" name="architecture-memoire.png"/>
                    <pic:cNvPicPr/>
                  </pic:nvPicPr>
                  <pic:blipFill>
                    <a:blip r:embed="rId11"/>
                    <a:stretch>
                      <a:fillRect/>
                    </a:stretch>
                  </pic:blipFill>
                  <pic:spPr>
                    <a:xfrm>
                      <a:off x="0" y="0"/>
                      <a:ext cx="5903999" cy="4766344"/>
                    </a:xfrm>
                    <a:prstGeom prst="rect"/>
                  </pic:spPr>
                </pic:pic>
              </a:graphicData>
            </a:graphic>
          </wp:inline>
        </w:drawing>
      </w:r>
    </w:p>
    <w:p>
      <w:pPr>
        <w:spacing w:after="240"/>
        <w:jc w:val="center"/>
      </w:pPr>
      <w:r>
        <w:rPr>
          <w:i/>
          <w:color w:val="595959"/>
          <w:sz w:val="18"/>
        </w:rPr>
        <w:t>Figure 2 — Les trois types de mémoire, leur substrat de stockage, et leur convergence vers la mémoire de travail.</w:t>
      </w:r>
    </w:p>
    <w:p>
      <w:pPr>
        <w:pStyle w:val="Heading2"/>
      </w:pPr>
      <w:r>
        <w:t>Ce que montre le schéma</w:t>
      </w:r>
    </w:p>
    <w:p>
      <w:r>
        <w:rPr>
          <w:color w:val="222222"/>
          <w:sz w:val="21"/>
        </w:rPr>
        <w:t xml:space="preserve">Le schéma se lit </w:t>
      </w:r>
      <w:r>
        <w:rPr>
          <w:b/>
          <w:color w:val="222222"/>
          <w:sz w:val="21"/>
        </w:rPr>
        <w:t>de gauche à droite</w:t>
      </w:r>
      <w:r>
        <w:rPr>
          <w:color w:val="222222"/>
          <w:sz w:val="21"/>
        </w:rPr>
        <w:t xml:space="preserve"> et raconte une convergence : trois natures de mémoire, deux substrats de stockage, un seul point d'arrivée — la mémoire de travail, assemblée juste avant l'appel LLM.</w:t>
      </w:r>
    </w:p>
    <w:p>
      <w:r>
        <w:rPr>
          <w:color w:val="222222"/>
          <w:sz w:val="21"/>
        </w:rPr>
        <w:t xml:space="preserve">La colonne de gauche est une distinction </w:t>
      </w:r>
      <w:r>
        <w:rPr>
          <w:b/>
          <w:color w:val="222222"/>
          <w:sz w:val="21"/>
        </w:rPr>
        <w:t>fonctionnelle</w:t>
      </w:r>
      <w:r>
        <w:rPr>
          <w:color w:val="222222"/>
          <w:sz w:val="21"/>
        </w:rPr>
        <w:t xml:space="preserve"> (à quoi sert ce souvenir) ; les cylindres sont une décision </w:t>
      </w:r>
      <w:r>
        <w:rPr>
          <w:b/>
          <w:color w:val="222222"/>
          <w:sz w:val="21"/>
        </w:rPr>
        <w:t>technique</w:t>
      </w:r>
      <w:r>
        <w:rPr>
          <w:color w:val="222222"/>
          <w:sz w:val="21"/>
        </w:rPr>
        <w:t xml:space="preserve"> (dans quelle base il vit). Le schéma superpose délibérément les deux, parce que c'est là que se joue l'arbitrage central du chantier mémoire.</w:t>
      </w:r>
    </w:p>
    <w:p>
      <w:pPr>
        <w:pStyle w:val="Heading2"/>
      </w:pPr>
      <w:r>
        <w:t>Lecture guidée</w:t>
      </w:r>
    </w:p>
    <w:p>
      <w:pPr>
        <w:pStyle w:val="ListBullet"/>
        <w:spacing w:after="60"/>
        <w:ind w:left="340" w:hanging="198"/>
      </w:pPr>
      <w:r>
        <w:rPr>
          <w:b/>
          <w:color w:val="222222"/>
          <w:sz w:val="21"/>
        </w:rPr>
        <w:t>Court terme — le fil de conversation.</w:t>
      </w:r>
      <w:r>
        <w:rPr>
          <w:color w:val="222222"/>
          <w:sz w:val="21"/>
        </w:rPr>
        <w:t xml:space="preserve"> Les messages de la session en cours. </w:t>
      </w:r>
      <w:r>
        <w:rPr>
          <w:i/>
          <w:color w:val="222222"/>
          <w:sz w:val="21"/>
        </w:rPr>
        <w:t>Analogie : ce qu'on garde en tête pendant un coup de fil.</w:t>
      </w:r>
      <w:r>
        <w:rPr>
          <w:color w:val="222222"/>
          <w:sz w:val="21"/>
        </w:rPr>
        <w:t xml:space="preserve"> Stocké en relationnel, table </w:t>
      </w:r>
      <w:r>
        <w:rPr>
          <w:rFonts w:ascii="Consolas" w:hAnsi="Consolas"/>
          <w:i w:val="0"/>
          <w:color w:val="A31D1D"/>
          <w:sz w:val="19"/>
        </w:rPr>
        <w:t>messages</w:t>
      </w:r>
      <w:r>
        <w:rPr>
          <w:color w:val="222222"/>
          <w:sz w:val="21"/>
        </w:rPr>
        <w:t>.</w:t>
      </w:r>
    </w:p>
    <w:p>
      <w:pPr>
        <w:pStyle w:val="ListBullet"/>
        <w:spacing w:after="60"/>
        <w:ind w:left="340" w:hanging="198"/>
      </w:pPr>
      <w:r>
        <w:rPr>
          <w:b/>
          <w:color w:val="222222"/>
          <w:sz w:val="21"/>
        </w:rPr>
        <w:t>Long terme sémantique — les faits durables typés.</w:t>
      </w:r>
      <w:r>
        <w:rPr>
          <w:color w:val="222222"/>
          <w:sz w:val="21"/>
        </w:rPr>
        <w:t xml:space="preserve"> « client pro », « pointure 42 », « litige d'authenticité ouvert ». </w:t>
      </w:r>
      <w:r>
        <w:rPr>
          <w:i/>
          <w:color w:val="222222"/>
          <w:sz w:val="21"/>
        </w:rPr>
        <w:t>Analogie : la fiche d'identité du client.</w:t>
      </w:r>
      <w:r>
        <w:rPr>
          <w:color w:val="222222"/>
          <w:sz w:val="21"/>
        </w:rPr>
        <w:t xml:space="preserve"> Stocké en relationnel, table </w:t>
      </w:r>
      <w:r>
        <w:rPr>
          <w:rFonts w:ascii="Consolas" w:hAnsi="Consolas"/>
          <w:i w:val="0"/>
          <w:color w:val="A31D1D"/>
          <w:sz w:val="19"/>
        </w:rPr>
        <w:t>faits_semantiques</w:t>
      </w:r>
      <w:r>
        <w:rPr>
          <w:color w:val="222222"/>
          <w:sz w:val="21"/>
        </w:rPr>
        <w:t>.</w:t>
      </w:r>
    </w:p>
    <w:p>
      <w:pPr>
        <w:pStyle w:val="ListBullet"/>
        <w:spacing w:after="60"/>
        <w:ind w:left="340" w:hanging="198"/>
      </w:pPr>
      <w:r>
        <w:rPr>
          <w:b/>
          <w:color w:val="222222"/>
          <w:sz w:val="21"/>
        </w:rPr>
        <w:t>Long terme épisodique — les événements datés.</w:t>
      </w:r>
      <w:r>
        <w:rPr>
          <w:color w:val="222222"/>
          <w:sz w:val="21"/>
        </w:rPr>
        <w:t xml:space="preserve"> « 12/06 litige ouvert sur #8412 », « 03/05 retour taille S ». </w:t>
      </w:r>
      <w:r>
        <w:rPr>
          <w:i/>
          <w:color w:val="222222"/>
          <w:sz w:val="21"/>
        </w:rPr>
        <w:t>Analogie : le journal de bord.</w:t>
      </w:r>
      <w:r>
        <w:rPr>
          <w:color w:val="222222"/>
          <w:sz w:val="21"/>
        </w:rPr>
        <w:t xml:space="preserve"> Stocké en vectoriel, collection </w:t>
      </w:r>
      <w:r>
        <w:rPr>
          <w:rFonts w:ascii="Consolas" w:hAnsi="Consolas"/>
          <w:i w:val="0"/>
          <w:color w:val="A31D1D"/>
          <w:sz w:val="19"/>
        </w:rPr>
        <w:t>episodes</w:t>
      </w:r>
      <w:r>
        <w:rPr>
          <w:color w:val="222222"/>
          <w:sz w:val="21"/>
        </w:rPr>
        <w:t>.</w:t>
      </w:r>
    </w:p>
    <w:p>
      <w:pPr>
        <w:pStyle w:val="ListBullet"/>
        <w:spacing w:after="60"/>
        <w:ind w:left="340" w:hanging="198"/>
      </w:pPr>
      <w:r>
        <w:rPr>
          <w:b/>
          <w:color w:val="222222"/>
          <w:sz w:val="21"/>
        </w:rPr>
        <w:t>Mémoire de travail.</w:t>
      </w:r>
      <w:r>
        <w:rPr>
          <w:color w:val="222222"/>
          <w:sz w:val="21"/>
        </w:rPr>
        <w:t xml:space="preserve"> Elle n'a pas de cylindre : </w:t>
      </w:r>
      <w:r>
        <w:rPr>
          <w:b/>
          <w:color w:val="222222"/>
          <w:sz w:val="21"/>
        </w:rPr>
        <w:t>elle n'est stockée nulle part</w:t>
      </w:r>
      <w:r>
        <w:rPr>
          <w:color w:val="222222"/>
          <w:sz w:val="21"/>
        </w:rPr>
        <w:t xml:space="preserve">. C'est un espace reconstruit à chaque tour, sous contrainte de budget de tokens, à partir des trois autres. </w:t>
      </w:r>
      <w:r>
        <w:rPr>
          <w:i/>
          <w:color w:val="222222"/>
          <w:sz w:val="21"/>
        </w:rPr>
        <w:t>Analogie : le bureau où l'on pose uniquement les documents nécessaires à la tâche du moment.</w:t>
      </w:r>
    </w:p>
    <w:p>
      <w:pPr>
        <w:pStyle w:val="Heading2"/>
      </w:pPr>
      <w:r>
        <w:t>Ce que le schéma décide</w:t>
      </w:r>
    </w:p>
    <w:p>
      <w:pPr>
        <w:pStyle w:val="Heading3"/>
      </w:pPr>
      <w:r>
        <w:t>Le stockage hybride, et le critère qui le justifie</w:t>
      </w:r>
    </w:p>
    <w:p>
      <w:r>
        <w:rPr>
          <w:color w:val="222222"/>
          <w:sz w:val="21"/>
        </w:rPr>
        <w:t xml:space="preserve">Le partage relationnel / vectoriel n'est pas décoratif. Le bon critère n'est pas l'étiquette « sémantique » ou « épisodique » — c'est le </w:t>
      </w:r>
      <w:r>
        <w:rPr>
          <w:b/>
          <w:color w:val="222222"/>
          <w:sz w:val="21"/>
        </w:rPr>
        <w:t>motif d'accès</w:t>
      </w:r>
      <w:r>
        <w:rPr>
          <w:color w:val="222222"/>
          <w:sz w:val="21"/>
        </w:rPr>
        <w:t xml:space="preserve"> :</w:t>
      </w:r>
    </w:p>
    <w:tbl>
      <w:tblPr>
        <w:tblW w:type="auto" w:w="0"/>
        <w:jc w:val="center"/>
        <w:tblLayout w:type="fixed"/>
        <w:tblLook w:firstColumn="1" w:firstRow="1" w:lastColumn="0" w:lastRow="0" w:noHBand="0" w:noVBand="1" w:val="04A0"/>
      </w:tblPr>
      <w:tblGrid>
        <w:gridCol w:w="3099"/>
        <w:gridCol w:w="3099"/>
        <w:gridCol w:w="3099"/>
      </w:tblGrid>
      <w:tr>
        <w:tc>
          <w:tcPr>
            <w:tcW w:type="dxa" w:w="3175"/>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Comment on récupère le souvenir</w:t>
            </w:r>
          </w:p>
        </w:tc>
        <w:tc>
          <w:tcPr>
            <w:tcW w:type="dxa" w:w="1701"/>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Base adaptée</w:t>
            </w:r>
          </w:p>
        </w:tc>
        <w:tc>
          <w:tcPr>
            <w:tcW w:type="dxa" w:w="4422"/>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Pourquoi</w:t>
            </w:r>
          </w:p>
        </w:tc>
      </w:tr>
      <w:tr>
        <w:tc>
          <w:tcPr>
            <w:tcW w:type="dxa" w:w="3175"/>
            <w:tcBorders>
              <w:top w:val="single" w:sz="6" w:color="D9D9D9"/>
              <w:left w:val="single" w:sz="6" w:color="D9D9D9"/>
              <w:bottom w:val="single" w:sz="6" w:color="D9D9D9"/>
              <w:right w:val="single" w:sz="6" w:color="D9D9D9"/>
            </w:tcBorders>
          </w:tcPr>
          <w:p>
            <w:pPr>
              <w:spacing w:before="40" w:after="40"/>
            </w:pPr>
            <w:r>
              <w:rPr>
                <w:color w:val="222222"/>
                <w:sz w:val="19"/>
              </w:rPr>
              <w:t>Par clé exacte, requête structurée</w:t>
            </w:r>
          </w:p>
        </w:tc>
        <w:tc>
          <w:tcPr>
            <w:tcW w:type="dxa" w:w="1701"/>
            <w:tcBorders>
              <w:top w:val="single" w:sz="6" w:color="D9D9D9"/>
              <w:left w:val="single" w:sz="6" w:color="D9D9D9"/>
              <w:bottom w:val="single" w:sz="6" w:color="D9D9D9"/>
              <w:right w:val="single" w:sz="6" w:color="D9D9D9"/>
            </w:tcBorders>
          </w:tcPr>
          <w:p>
            <w:pPr>
              <w:spacing w:before="40" w:after="40"/>
            </w:pPr>
            <w:r>
              <w:rPr>
                <w:color w:val="222222"/>
                <w:sz w:val="19"/>
              </w:rPr>
              <w:t>Relationnelle</w:t>
            </w:r>
          </w:p>
        </w:tc>
        <w:tc>
          <w:tcPr>
            <w:tcW w:type="dxa" w:w="4422"/>
            <w:tcBorders>
              <w:top w:val="single" w:sz="6" w:color="D9D9D9"/>
              <w:left w:val="single" w:sz="6" w:color="D9D9D9"/>
              <w:bottom w:val="single" w:sz="6" w:color="D9D9D9"/>
              <w:right w:val="single" w:sz="6" w:color="D9D9D9"/>
            </w:tcBorders>
          </w:tcPr>
          <w:p>
            <w:pPr>
              <w:spacing w:before="40" w:after="40"/>
            </w:pPr>
            <w:r>
              <w:rPr>
                <w:color w:val="222222"/>
                <w:sz w:val="19"/>
              </w:rPr>
              <w:t xml:space="preserve">Lire, mettre à jour et </w:t>
            </w:r>
            <w:r>
              <w:rPr>
                <w:b/>
                <w:color w:val="222222"/>
                <w:sz w:val="19"/>
              </w:rPr>
              <w:t>supprimer</w:t>
            </w:r>
            <w:r>
              <w:rPr>
                <w:color w:val="222222"/>
                <w:sz w:val="19"/>
              </w:rPr>
              <w:t xml:space="preserve"> une donnée précise, de façon </w:t>
            </w:r>
            <w:r>
              <w:rPr>
                <w:b/>
                <w:color w:val="222222"/>
                <w:sz w:val="19"/>
              </w:rPr>
              <w:t>vérifiable</w:t>
            </w:r>
            <w:r>
              <w:rPr>
                <w:color w:val="222222"/>
                <w:sz w:val="19"/>
              </w:rPr>
              <w:t>.</w:t>
            </w:r>
          </w:p>
        </w:tc>
      </w:tr>
      <w:tr>
        <w:tc>
          <w:tcPr>
            <w:tcW w:type="dxa" w:w="3175"/>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Par similarité de sens (« ça ressemble à »)</w:t>
            </w:r>
          </w:p>
        </w:tc>
        <w:tc>
          <w:tcPr>
            <w:tcW w:type="dxa" w:w="1701"/>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Vectorielle</w:t>
            </w:r>
          </w:p>
        </w:tc>
        <w:tc>
          <w:tcPr>
            <w:tcW w:type="dxa" w:w="4422"/>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Retrouver le bon souvenir même formulé autrement.</w:t>
            </w:r>
          </w:p>
        </w:tc>
      </w:tr>
    </w:tbl>
    <w:p>
      <w:pPr>
        <w:spacing w:after="40"/>
      </w:pPr>
    </w:p>
    <w:p>
      <w:r>
        <w:rPr>
          <w:color w:val="222222"/>
          <w:sz w:val="21"/>
        </w:rPr>
        <w:t xml:space="preserve">On aurait pu tout mettre en vectoriel. On le </w:t>
      </w:r>
      <w:r>
        <w:rPr>
          <w:b/>
          <w:color w:val="222222"/>
          <w:sz w:val="21"/>
        </w:rPr>
        <w:t>refuse pour les faits durables</w:t>
      </w:r>
      <w:r>
        <w:rPr>
          <w:color w:val="222222"/>
          <w:sz w:val="21"/>
        </w:rPr>
        <w:t xml:space="preserve">, et l'argument décisif vient des cas de test : l'évaluation </w:t>
      </w:r>
      <w:r>
        <w:rPr>
          <w:rFonts w:ascii="Consolas" w:hAnsi="Consolas"/>
          <w:i w:val="0"/>
          <w:color w:val="A31D1D"/>
          <w:sz w:val="19"/>
        </w:rPr>
        <w:t>forget</w:t>
      </w:r>
      <w:r>
        <w:rPr>
          <w:color w:val="222222"/>
          <w:sz w:val="21"/>
        </w:rPr>
        <w:t xml:space="preserve"> vise </w:t>
      </w:r>
      <w:r>
        <w:rPr>
          <w:rFonts w:ascii="Consolas" w:hAnsi="Consolas"/>
          <w:i w:val="0"/>
          <w:color w:val="A31D1D"/>
          <w:sz w:val="19"/>
        </w:rPr>
        <w:t>target: "commande"</w:t>
      </w:r>
      <w:r>
        <w:rPr>
          <w:color w:val="222222"/>
          <w:sz w:val="21"/>
        </w:rPr>
        <w:t xml:space="preserve"> — c'est-à-dire un </w:t>
      </w:r>
      <w:r>
        <w:rPr>
          <w:b/>
          <w:color w:val="222222"/>
          <w:sz w:val="21"/>
        </w:rPr>
        <w:t>type</w:t>
      </w:r>
      <w:r>
        <w:rPr>
          <w:color w:val="222222"/>
          <w:sz w:val="21"/>
        </w:rPr>
        <w:t xml:space="preserve">, pas une valeur. En relationnel, cela se traduit par un </w:t>
      </w:r>
      <w:r>
        <w:rPr>
          <w:rFonts w:ascii="Consolas" w:hAnsi="Consolas"/>
          <w:i w:val="0"/>
          <w:color w:val="A31D1D"/>
          <w:sz w:val="19"/>
        </w:rPr>
        <w:t>DELETE … WHERE user_id=… AND type='commande'</w:t>
      </w:r>
      <w:r>
        <w:rPr>
          <w:color w:val="222222"/>
          <w:sz w:val="21"/>
        </w:rPr>
        <w:t xml:space="preserve"> : net, atomique, vérifiable. Le droit à l'oubli (</w:t>
      </w:r>
      <w:r>
        <w:rPr>
          <w:b/>
          <w:color w:val="222222"/>
          <w:sz w:val="21"/>
        </w:rPr>
        <w:t>R5</w:t>
      </w:r>
      <w:r>
        <w:rPr>
          <w:color w:val="222222"/>
          <w:sz w:val="21"/>
        </w:rPr>
        <w:t xml:space="preserve">), la mise à jour d'un </w:t>
      </w:r>
      <w:r>
        <w:rPr>
          <w:rFonts w:ascii="Consolas" w:hAnsi="Consolas"/>
          <w:i w:val="0"/>
          <w:color w:val="A31D1D"/>
          <w:sz w:val="19"/>
        </w:rPr>
        <w:t>statut</w:t>
      </w:r>
      <w:r>
        <w:rPr>
          <w:color w:val="222222"/>
          <w:sz w:val="21"/>
        </w:rPr>
        <w:t>, l'isolation (</w:t>
      </w:r>
      <w:r>
        <w:rPr>
          <w:b/>
          <w:color w:val="222222"/>
          <w:sz w:val="21"/>
        </w:rPr>
        <w:t>R3</w:t>
      </w:r>
      <w:r>
        <w:rPr>
          <w:color w:val="222222"/>
          <w:sz w:val="21"/>
        </w:rPr>
        <w:t>) et l'inspection (</w:t>
      </w:r>
      <w:r>
        <w:rPr>
          <w:b/>
          <w:color w:val="222222"/>
          <w:sz w:val="21"/>
        </w:rPr>
        <w:t>R6</w:t>
      </w:r>
      <w:r>
        <w:rPr>
          <w:color w:val="222222"/>
          <w:sz w:val="21"/>
        </w:rPr>
        <w:t>) sont tous bien plus rigoureux en relationnel.</w:t>
      </w:r>
    </w:p>
    <w:p>
      <w:r>
        <w:rPr>
          <w:b/>
          <w:color w:val="222222"/>
          <w:sz w:val="21"/>
        </w:rPr>
        <w:t>Faits = relationnel, pour la rigueur. Épisodes = vectoriel, pour la recherche par le sens.</w:t>
      </w:r>
    </w:p>
    <w:p>
      <w:pPr>
        <w:pStyle w:val="Heading3"/>
      </w:pPr>
      <w:r>
        <w:t>La mémoire de travail est ce qui sauve R1</w:t>
      </w:r>
    </w:p>
    <w:p>
      <w:r>
        <w:rPr>
          <w:color w:val="222222"/>
          <w:sz w:val="21"/>
        </w:rPr>
        <w:t xml:space="preserve">« Tenir 30 tours » ne se résout pas en gardant les 30 messages : cela dépasse le budget de tokens. Le schéma montre que </w:t>
      </w:r>
      <w:r>
        <w:rPr>
          <w:b/>
          <w:color w:val="222222"/>
          <w:sz w:val="21"/>
        </w:rPr>
        <w:t>R1 est un travail d'équipe entre le court terme et la mémoire de travail</w:t>
      </w:r>
      <w:r>
        <w:rPr>
          <w:color w:val="222222"/>
          <w:sz w:val="21"/>
        </w:rPr>
        <w:t>. L'assemblage se fait par priorité décroissante, jusqu'au budget :</w:t>
      </w:r>
    </w:p>
    <w:tbl>
      <w:tblPr>
        <w:tblW w:type="auto" w:w="0"/>
        <w:jc w:val="center"/>
        <w:tblLayout w:type="fixed"/>
        <w:tblLook w:firstColumn="1" w:firstRow="1" w:lastColumn="0" w:lastRow="0" w:noHBand="0" w:noVBand="1" w:val="04A0"/>
      </w:tblPr>
      <w:tblGrid>
        <w:gridCol w:w="3099"/>
        <w:gridCol w:w="3099"/>
        <w:gridCol w:w="3099"/>
      </w:tblGrid>
      <w:tr>
        <w:tc>
          <w:tcPr>
            <w:tcW w:type="dxa" w:w="1020"/>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Priorité</w:t>
            </w:r>
          </w:p>
        </w:tc>
        <w:tc>
          <w:tcPr>
            <w:tcW w:type="dxa" w:w="3402"/>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Contenu injecté</w:t>
            </w:r>
          </w:p>
        </w:tc>
        <w:tc>
          <w:tcPr>
            <w:tcW w:type="dxa" w:w="4876"/>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Rôle</w:t>
            </w:r>
          </w:p>
        </w:tc>
      </w:tr>
      <w:tr>
        <w:tc>
          <w:tcPr>
            <w:tcW w:type="dxa" w:w="1020"/>
            <w:tcBorders>
              <w:top w:val="single" w:sz="6" w:color="D9D9D9"/>
              <w:left w:val="single" w:sz="6" w:color="D9D9D9"/>
              <w:bottom w:val="single" w:sz="6" w:color="D9D9D9"/>
              <w:right w:val="single" w:sz="6" w:color="D9D9D9"/>
            </w:tcBorders>
          </w:tcPr>
          <w:p>
            <w:pPr>
              <w:spacing w:before="40" w:after="40"/>
            </w:pPr>
            <w:r>
              <w:rPr>
                <w:color w:val="222222"/>
                <w:sz w:val="19"/>
              </w:rPr>
              <w:t>1</w:t>
            </w:r>
          </w:p>
        </w:tc>
        <w:tc>
          <w:tcPr>
            <w:tcW w:type="dxa" w:w="3402"/>
            <w:tcBorders>
              <w:top w:val="single" w:sz="6" w:color="D9D9D9"/>
              <w:left w:val="single" w:sz="6" w:color="D9D9D9"/>
              <w:bottom w:val="single" w:sz="6" w:color="D9D9D9"/>
              <w:right w:val="single" w:sz="6" w:color="D9D9D9"/>
            </w:tcBorders>
          </w:tcPr>
          <w:p>
            <w:pPr>
              <w:spacing w:before="40" w:after="40"/>
            </w:pPr>
            <w:r>
              <w:rPr>
                <w:color w:val="222222"/>
                <w:sz w:val="19"/>
              </w:rPr>
              <w:t>Prompt système (rôle + garde-fous)</w:t>
            </w:r>
          </w:p>
        </w:tc>
        <w:tc>
          <w:tcPr>
            <w:tcW w:type="dxa" w:w="4876"/>
            <w:tcBorders>
              <w:top w:val="single" w:sz="6" w:color="D9D9D9"/>
              <w:left w:val="single" w:sz="6" w:color="D9D9D9"/>
              <w:bottom w:val="single" w:sz="6" w:color="D9D9D9"/>
              <w:right w:val="single" w:sz="6" w:color="D9D9D9"/>
            </w:tcBorders>
          </w:tcPr>
          <w:p>
            <w:pPr>
              <w:spacing w:before="40" w:after="40"/>
            </w:pPr>
            <w:r>
              <w:rPr>
                <w:color w:val="222222"/>
                <w:sz w:val="19"/>
              </w:rPr>
              <w:t>Incompressible.</w:t>
            </w:r>
          </w:p>
        </w:tc>
      </w:tr>
      <w:tr>
        <w:tc>
          <w:tcPr>
            <w:tcW w:type="dxa" w:w="1020"/>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2</w:t>
            </w:r>
          </w:p>
        </w:tc>
        <w:tc>
          <w:tcPr>
            <w:tcW w:type="dxa" w:w="3402"/>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Faits sémantiques du client</w:t>
            </w:r>
          </w:p>
        </w:tc>
        <w:tc>
          <w:tcPr>
            <w:tcW w:type="dxa" w:w="4876"/>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 xml:space="preserve">Petits et critiques → </w:t>
            </w:r>
            <w:r>
              <w:rPr>
                <w:b/>
                <w:color w:val="222222"/>
                <w:sz w:val="19"/>
              </w:rPr>
              <w:t>jamais coupés</w:t>
            </w:r>
            <w:r>
              <w:rPr>
                <w:color w:val="222222"/>
                <w:sz w:val="19"/>
              </w:rPr>
              <w:t>. C'est eux qui sauvent R1.</w:t>
            </w:r>
          </w:p>
        </w:tc>
      </w:tr>
      <w:tr>
        <w:tc>
          <w:tcPr>
            <w:tcW w:type="dxa" w:w="1020"/>
            <w:tcBorders>
              <w:top w:val="single" w:sz="6" w:color="D9D9D9"/>
              <w:left w:val="single" w:sz="6" w:color="D9D9D9"/>
              <w:bottom w:val="single" w:sz="6" w:color="D9D9D9"/>
              <w:right w:val="single" w:sz="6" w:color="D9D9D9"/>
            </w:tcBorders>
          </w:tcPr>
          <w:p>
            <w:pPr>
              <w:spacing w:before="40" w:after="40"/>
            </w:pPr>
            <w:r>
              <w:rPr>
                <w:color w:val="222222"/>
                <w:sz w:val="19"/>
              </w:rPr>
              <w:t>3</w:t>
            </w:r>
          </w:p>
        </w:tc>
        <w:tc>
          <w:tcPr>
            <w:tcW w:type="dxa" w:w="3402"/>
            <w:tcBorders>
              <w:top w:val="single" w:sz="6" w:color="D9D9D9"/>
              <w:left w:val="single" w:sz="6" w:color="D9D9D9"/>
              <w:bottom w:val="single" w:sz="6" w:color="D9D9D9"/>
              <w:right w:val="single" w:sz="6" w:color="D9D9D9"/>
            </w:tcBorders>
          </w:tcPr>
          <w:p>
            <w:pPr>
              <w:spacing w:before="40" w:after="40"/>
            </w:pPr>
            <w:r>
              <w:rPr>
                <w:color w:val="222222"/>
                <w:sz w:val="19"/>
              </w:rPr>
              <w:t>Souvenirs épisodiques pertinents</w:t>
            </w:r>
          </w:p>
        </w:tc>
        <w:tc>
          <w:tcPr>
            <w:tcW w:type="dxa" w:w="4876"/>
            <w:tcBorders>
              <w:top w:val="single" w:sz="6" w:color="D9D9D9"/>
              <w:left w:val="single" w:sz="6" w:color="D9D9D9"/>
              <w:bottom w:val="single" w:sz="6" w:color="D9D9D9"/>
              <w:right w:val="single" w:sz="6" w:color="D9D9D9"/>
            </w:tcBorders>
          </w:tcPr>
          <w:p>
            <w:pPr>
              <w:spacing w:before="40" w:after="40"/>
            </w:pPr>
            <w:r>
              <w:rPr>
                <w:color w:val="222222"/>
                <w:sz w:val="19"/>
              </w:rPr>
              <w:t>Sélection par recherche de sens : on ne prend que l'utile.</w:t>
            </w:r>
          </w:p>
        </w:tc>
      </w:tr>
      <w:tr>
        <w:tc>
          <w:tcPr>
            <w:tcW w:type="dxa" w:w="1020"/>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4</w:t>
            </w:r>
          </w:p>
        </w:tc>
        <w:tc>
          <w:tcPr>
            <w:tcW w:type="dxa" w:w="3402"/>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Résumé glissant du début</w:t>
            </w:r>
          </w:p>
        </w:tc>
        <w:tc>
          <w:tcPr>
            <w:tcW w:type="dxa" w:w="4876"/>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Trace compressée de tout ce qui précède.</w:t>
            </w:r>
          </w:p>
        </w:tc>
      </w:tr>
      <w:tr>
        <w:tc>
          <w:tcPr>
            <w:tcW w:type="dxa" w:w="1020"/>
            <w:tcBorders>
              <w:top w:val="single" w:sz="6" w:color="D9D9D9"/>
              <w:left w:val="single" w:sz="6" w:color="D9D9D9"/>
              <w:bottom w:val="single" w:sz="6" w:color="D9D9D9"/>
              <w:right w:val="single" w:sz="6" w:color="D9D9D9"/>
            </w:tcBorders>
          </w:tcPr>
          <w:p>
            <w:pPr>
              <w:spacing w:before="40" w:after="40"/>
            </w:pPr>
            <w:r>
              <w:rPr>
                <w:color w:val="222222"/>
                <w:sz w:val="19"/>
              </w:rPr>
              <w:t>5</w:t>
            </w:r>
          </w:p>
        </w:tc>
        <w:tc>
          <w:tcPr>
            <w:tcW w:type="dxa" w:w="3402"/>
            <w:tcBorders>
              <w:top w:val="single" w:sz="6" w:color="D9D9D9"/>
              <w:left w:val="single" w:sz="6" w:color="D9D9D9"/>
              <w:bottom w:val="single" w:sz="6" w:color="D9D9D9"/>
              <w:right w:val="single" w:sz="6" w:color="D9D9D9"/>
            </w:tcBorders>
          </w:tcPr>
          <w:p>
            <w:pPr>
              <w:spacing w:before="40" w:after="40"/>
            </w:pPr>
            <w:r>
              <w:rPr>
                <w:color w:val="222222"/>
                <w:sz w:val="19"/>
              </w:rPr>
              <w:t>Les N derniers tours en entier</w:t>
            </w:r>
          </w:p>
        </w:tc>
        <w:tc>
          <w:tcPr>
            <w:tcW w:type="dxa" w:w="4876"/>
            <w:tcBorders>
              <w:top w:val="single" w:sz="6" w:color="D9D9D9"/>
              <w:left w:val="single" w:sz="6" w:color="D9D9D9"/>
              <w:bottom w:val="single" w:sz="6" w:color="D9D9D9"/>
              <w:right w:val="single" w:sz="6" w:color="D9D9D9"/>
            </w:tcBorders>
          </w:tcPr>
          <w:p>
            <w:pPr>
              <w:spacing w:before="40" w:after="40"/>
            </w:pPr>
            <w:r>
              <w:rPr>
                <w:color w:val="222222"/>
                <w:sz w:val="19"/>
              </w:rPr>
              <w:t>Contexte immédiat.</w:t>
            </w:r>
          </w:p>
        </w:tc>
      </w:tr>
    </w:tbl>
    <w:p>
      <w:pPr>
        <w:spacing w:after="40"/>
      </w:pPr>
    </w:p>
    <w:p>
      <w:r>
        <w:rPr>
          <w:color w:val="222222"/>
          <w:sz w:val="21"/>
        </w:rPr>
        <w:t xml:space="preserve">Si le budget déborde encore, on résume davantage </w:t>
      </w:r>
      <w:r>
        <w:rPr>
          <w:b/>
          <w:color w:val="222222"/>
          <w:sz w:val="21"/>
        </w:rPr>
        <w:t>le milieu</w:t>
      </w:r>
      <w:r>
        <w:rPr>
          <w:color w:val="222222"/>
          <w:sz w:val="21"/>
        </w:rPr>
        <w:t xml:space="preserve"> — jamais les faits (2), jamais les derniers tours (5).</w:t>
      </w:r>
    </w:p>
    <w:tbl>
      <w:tblPr>
        <w:tblW w:type="auto" w:w="0"/>
        <w:jc w:val="center"/>
        <w:tblLayout w:type="fixed"/>
        <w:tblLook w:firstColumn="1" w:firstRow="1" w:lastColumn="0" w:lastRow="0" w:noHBand="0" w:noVBand="1" w:val="04A0"/>
      </w:tblPr>
      <w:tblGrid>
        <w:gridCol w:w="9298"/>
      </w:tblGrid>
      <w:tr>
        <w:tc>
          <w:tcPr>
            <w:tcW w:type="dxa" w:w="9298"/>
            <w:tcBorders>
              <w:top w:val="single" w:sz="4" w:color="F2F5F9"/>
              <w:left w:val="single" w:sz="18" w:color="2E5C8A"/>
              <w:bottom w:val="single" w:sz="4" w:color="F2F5F9"/>
              <w:right w:val="single" w:sz="4" w:color="F2F5F9"/>
            </w:tcBorders>
            <w:shd w:val="clear" w:color="auto" w:fill="F2F5F9"/>
          </w:tcPr>
          <w:p>
            <w:pPr>
              <w:spacing w:before="80" w:after="40"/>
            </w:pPr>
            <w:r>
              <w:rPr>
                <w:rFonts w:ascii="Calibri" w:hAnsi="Calibri"/>
                <w:b/>
                <w:color w:val="2E5C8A"/>
                <w:sz w:val="17"/>
              </w:rPr>
              <w:t>L'ARGUMENT À DÉFENDRE</w:t>
            </w:r>
          </w:p>
          <w:p>
            <w:pPr>
              <w:spacing w:after="100"/>
            </w:pPr>
            <w:r>
              <w:rPr>
                <w:color w:val="222222"/>
                <w:sz w:val="20"/>
              </w:rPr>
              <w:t xml:space="preserve">Le contrat </w:t>
            </w:r>
            <w:r>
              <w:rPr>
                <w:rFonts w:ascii="Consolas" w:hAnsi="Consolas"/>
                <w:i w:val="0"/>
                <w:color w:val="A31D1D"/>
                <w:sz w:val="18"/>
              </w:rPr>
              <w:t>CT-7788</w:t>
            </w:r>
            <w:r>
              <w:rPr>
                <w:color w:val="222222"/>
                <w:sz w:val="20"/>
              </w:rPr>
              <w:t xml:space="preserve"> donné au tour 1 est retrouvé au tour 30 </w:t>
            </w:r>
            <w:r>
              <w:rPr>
                <w:b/>
                <w:color w:val="222222"/>
                <w:sz w:val="20"/>
              </w:rPr>
              <w:t>parce qu'il a été écrit comme fait durable</w:t>
            </w:r>
            <w:r>
              <w:rPr>
                <w:color w:val="222222"/>
                <w:sz w:val="20"/>
              </w:rPr>
              <w:t>, pas parce qu'on a conservé trente messages. Pour l'information critique, on ne compte jamais sur la conversation pour s'en souvenir : elle est déjà à l'abri en mémoire long terme, réinjectée à chaque tour. Le résumé n'est qu'un complément pour le bavardage.</w:t>
            </w:r>
          </w:p>
        </w:tc>
      </w:tr>
    </w:tbl>
    <w:p>
      <w:pPr>
        <w:spacing w:after="40"/>
      </w:pPr>
    </w:p>
    <w:p>
      <w:r>
        <w:rPr>
          <w:color w:val="222222"/>
          <w:sz w:val="21"/>
        </w:rPr>
        <w:t xml:space="preserve">Deux dangers documentés confortent ce choix. Le </w:t>
      </w:r>
      <w:r>
        <w:rPr>
          <w:b/>
          <w:color w:val="222222"/>
          <w:sz w:val="21"/>
        </w:rPr>
        <w:t>*summarization drift</w:t>
      </w:r>
      <w:r>
        <w:rPr>
          <w:i/>
          <w:color w:val="222222"/>
          <w:sz w:val="21"/>
        </w:rPr>
        <w:t xml:space="preserve"> : chaque résumé successif jette silencieusement les détails rares — une consigne survit au premier résumé et disparaît au troisième. Le </w:t>
      </w:r>
      <w:r>
        <w:rPr>
          <w:i/>
          <w:color w:val="222222"/>
          <w:sz w:val="21"/>
        </w:rPr>
        <w:t xml:space="preserve">« </w:t>
      </w:r>
      <w:r>
        <w:rPr>
          <w:color w:val="222222"/>
          <w:sz w:val="21"/>
        </w:rPr>
        <w:t>lost in the middle</w:t>
      </w:r>
      <w:r>
        <w:rPr>
          <w:i/>
          <w:color w:val="222222"/>
          <w:sz w:val="21"/>
        </w:rPr>
        <w:t xml:space="preserve"> »</w:t>
      </w:r>
      <w:r>
        <w:rPr>
          <w:i/>
          <w:color w:val="222222"/>
          <w:sz w:val="21"/>
        </w:rPr>
        <w:t xml:space="preserve"> : même dans une grande fenêtre, l'information placée au milieu est moins bien lue. Agrandir la fenêtre ne suffit donc pas — il faut </w:t>
      </w:r>
      <w:r>
        <w:rPr>
          <w:i/>
          <w:color w:val="222222"/>
          <w:sz w:val="21"/>
        </w:rPr>
        <w:t>choisir</w:t>
      </w:r>
      <w:r>
        <w:rPr>
          <w:i/>
          <w:color w:val="222222"/>
          <w:sz w:val="21"/>
        </w:rPr>
        <w:t xml:space="preserve"> ce qu'on injecte. </w:t>
      </w:r>
      <w:r>
        <w:rPr>
          <w:color w:val="222222"/>
          <w:sz w:val="21"/>
        </w:rPr>
        <w:t>Long context is not memory.*</w:t>
      </w:r>
    </w:p>
    <w:p>
      <w:pPr>
        <w:pStyle w:val="Heading2"/>
      </w:pPr>
      <w:r>
        <w:t>Limites et écarts</w:t>
      </w:r>
    </w:p>
    <w:p>
      <w:pPr>
        <w:pStyle w:val="ListBullet"/>
        <w:spacing w:after="60"/>
        <w:ind w:left="340" w:hanging="198"/>
      </w:pPr>
      <w:r>
        <w:rPr>
          <w:color w:val="222222"/>
          <w:sz w:val="21"/>
        </w:rPr>
        <w:t xml:space="preserve">⚠️ La branche </w:t>
      </w:r>
      <w:r>
        <w:rPr>
          <w:b/>
          <w:color w:val="222222"/>
          <w:sz w:val="21"/>
        </w:rPr>
        <w:t>épisodique / vectorielle est conçue mais non construite</w:t>
      </w:r>
      <w:r>
        <w:rPr>
          <w:color w:val="222222"/>
          <w:sz w:val="21"/>
        </w:rPr>
        <w:t>. Les douze cas fournis n'exercent que le sémantique, le court terme, l'oubli et l'isolation. Le choix assumé : prioriser ce qui est mesuré, documenter ce qui ne l'est pas — plutôt que l'inverse.</w:t>
      </w:r>
    </w:p>
    <w:p>
      <w:pPr>
        <w:pStyle w:val="ListBullet"/>
        <w:spacing w:after="60"/>
        <w:ind w:left="340" w:hanging="198"/>
      </w:pPr>
      <w:r>
        <w:rPr>
          <w:color w:val="222222"/>
          <w:sz w:val="21"/>
        </w:rPr>
        <w:t>La mémoire de travail figure au schéma comme une boîte unique ; son algorithme d'assemblage par priorité (tableau ci-dessus) n'est pas visible dans le dessin.</w:t>
      </w:r>
    </w:p>
    <w:p>
      <w:r>
        <w:br w:type="page"/>
      </w:r>
    </w:p>
    <w:p>
      <w:pPr>
        <w:pStyle w:val="Heading1"/>
      </w:pPr>
      <w:r>
        <w:t>3. Diagramme de classes — la structure du code</w:t>
      </w:r>
    </w:p>
    <w:p>
      <w:pPr>
        <w:spacing w:after="200"/>
      </w:pPr>
      <w:r>
        <w:rPr>
          <w:i/>
          <w:color w:val="334455"/>
          <w:sz w:val="22"/>
        </w:rPr>
        <w:t>Question posée : quels objets composent l'agent, que sait faire chacun, et qui produit quoi ?</w:t>
      </w:r>
    </w:p>
    <w:p>
      <w:pPr>
        <w:keepNext/>
        <w:spacing w:before="120" w:after="60"/>
        <w:jc w:val="center"/>
      </w:pPr>
      <w:r>
        <w:drawing>
          <wp:inline xmlns:a="http://schemas.openxmlformats.org/drawingml/2006/main" xmlns:pic="http://schemas.openxmlformats.org/drawingml/2006/picture">
            <wp:extent cx="5903999" cy="5636048"/>
            <wp:docPr id="3" name="Picture 3"/>
            <wp:cNvGraphicFramePr>
              <a:graphicFrameLocks noChangeAspect="1"/>
            </wp:cNvGraphicFramePr>
            <a:graphic>
              <a:graphicData uri="http://schemas.openxmlformats.org/drawingml/2006/picture">
                <pic:pic>
                  <pic:nvPicPr>
                    <pic:cNvPr id="0" name="diagramme-de-classes-structure.png"/>
                    <pic:cNvPicPr/>
                  </pic:nvPicPr>
                  <pic:blipFill>
                    <a:blip r:embed="rId12"/>
                    <a:stretch>
                      <a:fillRect/>
                    </a:stretch>
                  </pic:blipFill>
                  <pic:spPr>
                    <a:xfrm>
                      <a:off x="0" y="0"/>
                      <a:ext cx="5903999" cy="5636048"/>
                    </a:xfrm>
                    <a:prstGeom prst="rect"/>
                  </pic:spPr>
                </pic:pic>
              </a:graphicData>
            </a:graphic>
          </wp:inline>
        </w:drawing>
      </w:r>
    </w:p>
    <w:p>
      <w:pPr>
        <w:spacing w:after="240"/>
        <w:jc w:val="center"/>
      </w:pPr>
      <w:r>
        <w:rPr>
          <w:i/>
          <w:color w:val="595959"/>
          <w:sz w:val="18"/>
        </w:rPr>
        <w:t>Figure 3 — Les trois classes centrales, leurs attributs et méthodes, et les objets qu'elles produisent.</w:t>
      </w:r>
    </w:p>
    <w:p>
      <w:pPr>
        <w:pStyle w:val="Heading2"/>
      </w:pPr>
      <w:r>
        <w:t>Ce que montre le schéma</w:t>
      </w:r>
    </w:p>
    <w:p>
      <w:r>
        <w:rPr>
          <w:color w:val="222222"/>
          <w:sz w:val="21"/>
        </w:rPr>
        <w:t xml:space="preserve">On passe ici du </w:t>
      </w:r>
      <w:r>
        <w:rPr>
          <w:b/>
          <w:color w:val="222222"/>
          <w:sz w:val="21"/>
        </w:rPr>
        <w:t>quoi</w:t>
      </w:r>
      <w:r>
        <w:rPr>
          <w:color w:val="222222"/>
          <w:sz w:val="21"/>
        </w:rPr>
        <w:t xml:space="preserve"> au </w:t>
      </w:r>
      <w:r>
        <w:rPr>
          <w:b/>
          <w:color w:val="222222"/>
          <w:sz w:val="21"/>
        </w:rPr>
        <w:t>comment c'est écrit</w:t>
      </w:r>
      <w:r>
        <w:rPr>
          <w:color w:val="222222"/>
          <w:sz w:val="21"/>
        </w:rPr>
        <w:t xml:space="preserve">. Ce schéma est une vue </w:t>
      </w:r>
      <w:r>
        <w:rPr>
          <w:b/>
          <w:color w:val="222222"/>
          <w:sz w:val="21"/>
        </w:rPr>
        <w:t>statique</w:t>
      </w:r>
      <w:r>
        <w:rPr>
          <w:color w:val="222222"/>
          <w:sz w:val="21"/>
        </w:rPr>
        <w:t xml:space="preserve"> : il montre la structure du code au repos, pas son exécution. Il se lit en deux temps — d'abord les trois classes qui agissent, ensuite les quatre objets qu'elles se transmettent.</w:t>
      </w:r>
    </w:p>
    <w:p>
      <w:pPr>
        <w:pStyle w:val="Heading2"/>
      </w:pPr>
      <w:r>
        <w:t>Lecture guidée</w:t>
      </w:r>
    </w:p>
    <w:p>
      <w:pPr>
        <w:pStyle w:val="Heading3"/>
      </w:pPr>
      <w:r>
        <w:t>Les trois classes qui agissent</w:t>
      </w:r>
    </w:p>
    <w:tbl>
      <w:tblPr>
        <w:tblW w:type="auto" w:w="0"/>
        <w:jc w:val="center"/>
        <w:tblLayout w:type="fixed"/>
        <w:tblLook w:firstColumn="1" w:firstRow="1" w:lastColumn="0" w:lastRow="0" w:noHBand="0" w:noVBand="1" w:val="04A0"/>
      </w:tblPr>
      <w:tblGrid>
        <w:gridCol w:w="3099"/>
        <w:gridCol w:w="3099"/>
        <w:gridCol w:w="3099"/>
      </w:tblGrid>
      <w:tr>
        <w:tc>
          <w:tcPr>
            <w:tcW w:type="dxa" w:w="3099"/>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Classe</w:t>
            </w:r>
          </w:p>
        </w:tc>
        <w:tc>
          <w:tcPr>
            <w:tcW w:type="dxa" w:w="3099"/>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Responsabilité</w:t>
            </w:r>
          </w:p>
        </w:tc>
        <w:tc>
          <w:tcPr>
            <w:tcW w:type="dxa" w:w="3099"/>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Méthode publique principale</w:t>
            </w:r>
          </w:p>
        </w:tc>
      </w:tr>
      <w:tr>
        <w:tc>
          <w:tcPr>
            <w:tcW w:type="dxa" w:w="3099"/>
            <w:tcBorders>
              <w:top w:val="single" w:sz="6" w:color="D9D9D9"/>
              <w:left w:val="single" w:sz="6" w:color="D9D9D9"/>
              <w:bottom w:val="single" w:sz="6" w:color="D9D9D9"/>
              <w:right w:val="single" w:sz="6" w:color="D9D9D9"/>
            </w:tcBorders>
          </w:tcPr>
          <w:p>
            <w:pPr>
              <w:spacing w:before="40" w:after="40"/>
            </w:pPr>
            <w:r>
              <w:rPr>
                <w:rFonts w:ascii="Consolas" w:hAnsi="Consolas"/>
                <w:i w:val="0"/>
                <w:color w:val="A31D1D"/>
                <w:sz w:val="17"/>
              </w:rPr>
              <w:t>Agent</w:t>
            </w:r>
          </w:p>
        </w:tc>
        <w:tc>
          <w:tcPr>
            <w:tcW w:type="dxa" w:w="3099"/>
            <w:tcBorders>
              <w:top w:val="single" w:sz="6" w:color="D9D9D9"/>
              <w:left w:val="single" w:sz="6" w:color="D9D9D9"/>
              <w:bottom w:val="single" w:sz="6" w:color="D9D9D9"/>
              <w:right w:val="single" w:sz="6" w:color="D9D9D9"/>
            </w:tcBorders>
          </w:tcPr>
          <w:p>
            <w:pPr>
              <w:spacing w:before="40" w:after="40"/>
            </w:pPr>
            <w:r>
              <w:rPr>
                <w:color w:val="222222"/>
                <w:sz w:val="19"/>
              </w:rPr>
              <w:t>L'orchestrateur. Il ne fait presque rien lui-même : il appelle les autres dans le bon ordre.</w:t>
            </w:r>
          </w:p>
        </w:tc>
        <w:tc>
          <w:tcPr>
            <w:tcW w:type="dxa" w:w="3099"/>
            <w:tcBorders>
              <w:top w:val="single" w:sz="6" w:color="D9D9D9"/>
              <w:left w:val="single" w:sz="6" w:color="D9D9D9"/>
              <w:bottom w:val="single" w:sz="6" w:color="D9D9D9"/>
              <w:right w:val="single" w:sz="6" w:color="D9D9D9"/>
            </w:tcBorders>
          </w:tcPr>
          <w:p>
            <w:pPr>
              <w:spacing w:before="40" w:after="40"/>
            </w:pPr>
            <w:r>
              <w:rPr>
                <w:rFonts w:ascii="Consolas" w:hAnsi="Consolas"/>
                <w:i w:val="0"/>
                <w:color w:val="A31D1D"/>
                <w:sz w:val="17"/>
              </w:rPr>
              <w:t>respond(user_id, message)</w:t>
            </w:r>
          </w:p>
        </w:tc>
      </w:tr>
      <w:tr>
        <w:tc>
          <w:tcPr>
            <w:tcW w:type="dxa" w:w="3099"/>
            <w:tcBorders>
              <w:top w:val="single" w:sz="6" w:color="D9D9D9"/>
              <w:left w:val="single" w:sz="6" w:color="D9D9D9"/>
              <w:bottom w:val="single" w:sz="6" w:color="D9D9D9"/>
              <w:right w:val="single" w:sz="6" w:color="D9D9D9"/>
            </w:tcBorders>
            <w:shd w:val="clear" w:color="auto" w:fill="F6F8FB"/>
          </w:tcPr>
          <w:p>
            <w:pPr>
              <w:spacing w:before="40" w:after="40"/>
            </w:pPr>
            <w:r>
              <w:rPr>
                <w:rFonts w:ascii="Consolas" w:hAnsi="Consolas"/>
                <w:i w:val="0"/>
                <w:color w:val="A31D1D"/>
                <w:sz w:val="17"/>
              </w:rPr>
              <w:t>MemoryManager</w:t>
            </w:r>
          </w:p>
        </w:tc>
        <w:tc>
          <w:tcPr>
            <w:tcW w:type="dxa" w:w="3099"/>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Tout ce qui touche au souvenir : lire, écrire, retenir, oublier, inspecter.</w:t>
            </w:r>
          </w:p>
        </w:tc>
        <w:tc>
          <w:tcPr>
            <w:tcW w:type="dxa" w:w="3099"/>
            <w:tcBorders>
              <w:top w:val="single" w:sz="6" w:color="D9D9D9"/>
              <w:left w:val="single" w:sz="6" w:color="D9D9D9"/>
              <w:bottom w:val="single" w:sz="6" w:color="D9D9D9"/>
              <w:right w:val="single" w:sz="6" w:color="D9D9D9"/>
            </w:tcBorders>
            <w:shd w:val="clear" w:color="auto" w:fill="F6F8FB"/>
          </w:tcPr>
          <w:p>
            <w:pPr>
              <w:spacing w:before="40" w:after="40"/>
            </w:pPr>
            <w:r>
              <w:rPr>
                <w:rFonts w:ascii="Consolas" w:hAnsi="Consolas"/>
                <w:i w:val="0"/>
                <w:color w:val="A31D1D"/>
                <w:sz w:val="17"/>
              </w:rPr>
              <w:t>read</w:t>
            </w:r>
            <w:r>
              <w:rPr>
                <w:color w:val="222222"/>
                <w:sz w:val="19"/>
              </w:rPr>
              <w:t xml:space="preserve"> / </w:t>
            </w:r>
            <w:r>
              <w:rPr>
                <w:rFonts w:ascii="Consolas" w:hAnsi="Consolas"/>
                <w:i w:val="0"/>
                <w:color w:val="A31D1D"/>
                <w:sz w:val="17"/>
              </w:rPr>
              <w:t>write</w:t>
            </w:r>
            <w:r>
              <w:rPr>
                <w:color w:val="222222"/>
                <w:sz w:val="19"/>
              </w:rPr>
              <w:t xml:space="preserve"> / </w:t>
            </w:r>
            <w:r>
              <w:rPr>
                <w:rFonts w:ascii="Consolas" w:hAnsi="Consolas"/>
                <w:i w:val="0"/>
                <w:color w:val="A31D1D"/>
                <w:sz w:val="17"/>
              </w:rPr>
              <w:t>forget</w:t>
            </w:r>
            <w:r>
              <w:rPr>
                <w:color w:val="222222"/>
                <w:sz w:val="19"/>
              </w:rPr>
              <w:t xml:space="preserve"> / </w:t>
            </w:r>
            <w:r>
              <w:rPr>
                <w:rFonts w:ascii="Consolas" w:hAnsi="Consolas"/>
                <w:i w:val="0"/>
                <w:color w:val="A31D1D"/>
                <w:sz w:val="17"/>
              </w:rPr>
              <w:t>inspect</w:t>
            </w:r>
          </w:p>
        </w:tc>
      </w:tr>
      <w:tr>
        <w:tc>
          <w:tcPr>
            <w:tcW w:type="dxa" w:w="3099"/>
            <w:tcBorders>
              <w:top w:val="single" w:sz="6" w:color="D9D9D9"/>
              <w:left w:val="single" w:sz="6" w:color="D9D9D9"/>
              <w:bottom w:val="single" w:sz="6" w:color="D9D9D9"/>
              <w:right w:val="single" w:sz="6" w:color="D9D9D9"/>
            </w:tcBorders>
          </w:tcPr>
          <w:p>
            <w:pPr>
              <w:spacing w:before="40" w:after="40"/>
            </w:pPr>
            <w:r>
              <w:rPr>
                <w:rFonts w:ascii="Consolas" w:hAnsi="Consolas"/>
                <w:i w:val="0"/>
                <w:color w:val="A31D1D"/>
                <w:sz w:val="17"/>
              </w:rPr>
              <w:t>GuardrailEngine</w:t>
            </w:r>
          </w:p>
        </w:tc>
        <w:tc>
          <w:tcPr>
            <w:tcW w:type="dxa" w:w="3099"/>
            <w:tcBorders>
              <w:top w:val="single" w:sz="6" w:color="D9D9D9"/>
              <w:left w:val="single" w:sz="6" w:color="D9D9D9"/>
              <w:bottom w:val="single" w:sz="6" w:color="D9D9D9"/>
              <w:right w:val="single" w:sz="6" w:color="D9D9D9"/>
            </w:tcBorders>
          </w:tcPr>
          <w:p>
            <w:pPr>
              <w:spacing w:before="40" w:after="40"/>
            </w:pPr>
            <w:r>
              <w:rPr>
                <w:color w:val="222222"/>
                <w:sz w:val="19"/>
              </w:rPr>
              <w:t xml:space="preserve">Les deux points de contrôle, entrée et sortie. Il accumule aussi les </w:t>
            </w:r>
            <w:r>
              <w:rPr>
                <w:rFonts w:ascii="Consolas" w:hAnsi="Consolas"/>
                <w:i w:val="0"/>
                <w:color w:val="A31D1D"/>
                <w:sz w:val="17"/>
              </w:rPr>
              <w:t>events</w:t>
            </w:r>
            <w:r>
              <w:rPr>
                <w:color w:val="222222"/>
                <w:sz w:val="19"/>
              </w:rPr>
              <w:t xml:space="preserve"> (journal des blocages).</w:t>
            </w:r>
          </w:p>
        </w:tc>
        <w:tc>
          <w:tcPr>
            <w:tcW w:type="dxa" w:w="3099"/>
            <w:tcBorders>
              <w:top w:val="single" w:sz="6" w:color="D9D9D9"/>
              <w:left w:val="single" w:sz="6" w:color="D9D9D9"/>
              <w:bottom w:val="single" w:sz="6" w:color="D9D9D9"/>
              <w:right w:val="single" w:sz="6" w:color="D9D9D9"/>
            </w:tcBorders>
          </w:tcPr>
          <w:p>
            <w:pPr>
              <w:spacing w:before="40" w:after="40"/>
            </w:pPr>
            <w:r>
              <w:rPr>
                <w:rFonts w:ascii="Consolas" w:hAnsi="Consolas"/>
                <w:i w:val="0"/>
                <w:color w:val="A31D1D"/>
                <w:sz w:val="17"/>
              </w:rPr>
              <w:t>check_input</w:t>
            </w:r>
            <w:r>
              <w:rPr>
                <w:color w:val="222222"/>
                <w:sz w:val="19"/>
              </w:rPr>
              <w:t xml:space="preserve"> / </w:t>
            </w:r>
            <w:r>
              <w:rPr>
                <w:rFonts w:ascii="Consolas" w:hAnsi="Consolas"/>
                <w:i w:val="0"/>
                <w:color w:val="A31D1D"/>
                <w:sz w:val="17"/>
              </w:rPr>
              <w:t>check_output</w:t>
            </w:r>
          </w:p>
        </w:tc>
      </w:tr>
    </w:tbl>
    <w:p>
      <w:pPr>
        <w:spacing w:after="40"/>
      </w:pPr>
    </w:p>
    <w:p>
      <w:r>
        <w:rPr>
          <w:color w:val="222222"/>
          <w:sz w:val="21"/>
        </w:rPr>
        <w:t>Les flèches pleines partant d'</w:t>
      </w:r>
      <w:r>
        <w:rPr>
          <w:rFonts w:ascii="Consolas" w:hAnsi="Consolas"/>
          <w:i w:val="0"/>
          <w:color w:val="A31D1D"/>
          <w:sz w:val="19"/>
        </w:rPr>
        <w:t>Agent</w:t>
      </w:r>
      <w:r>
        <w:rPr>
          <w:color w:val="222222"/>
          <w:sz w:val="21"/>
        </w:rPr>
        <w:t xml:space="preserve"> portent l'étiquette </w:t>
      </w:r>
      <w:r>
        <w:rPr>
          <w:b/>
          <w:color w:val="222222"/>
          <w:sz w:val="21"/>
        </w:rPr>
        <w:t>« utilise »</w:t>
      </w:r>
      <w:r>
        <w:rPr>
          <w:color w:val="222222"/>
          <w:sz w:val="21"/>
        </w:rPr>
        <w:t xml:space="preserve"> : c'est une </w:t>
      </w:r>
      <w:r>
        <w:rPr>
          <w:b/>
          <w:color w:val="222222"/>
          <w:sz w:val="21"/>
        </w:rPr>
        <w:t>composition par injection</w:t>
      </w:r>
      <w:r>
        <w:rPr>
          <w:color w:val="222222"/>
          <w:sz w:val="21"/>
        </w:rPr>
        <w:t xml:space="preserve">. L'agent reçoit son LLM, sa mémoire et ses garde-fous — il ne les fabrique pas. C'est ce qui rend chacun remplaçable en test (un </w:t>
      </w:r>
      <w:r>
        <w:rPr>
          <w:rFonts w:ascii="Consolas" w:hAnsi="Consolas"/>
          <w:i w:val="0"/>
          <w:color w:val="A31D1D"/>
          <w:sz w:val="19"/>
        </w:rPr>
        <w:t>EchoLLM</w:t>
      </w:r>
      <w:r>
        <w:rPr>
          <w:color w:val="222222"/>
          <w:sz w:val="21"/>
        </w:rPr>
        <w:t xml:space="preserve"> hors-ligne, un moteur de garde-fous sans LLM).</w:t>
      </w:r>
    </w:p>
    <w:p>
      <w:pPr>
        <w:pStyle w:val="Heading3"/>
      </w:pPr>
      <w:r>
        <w:t>Les quatre objets transmis</w:t>
      </w:r>
    </w:p>
    <w:p>
      <w:r>
        <w:rPr>
          <w:color w:val="222222"/>
          <w:sz w:val="21"/>
        </w:rPr>
        <w:t xml:space="preserve">Les flèches en pointillés portent </w:t>
      </w:r>
      <w:r>
        <w:rPr>
          <w:b/>
          <w:color w:val="222222"/>
          <w:sz w:val="21"/>
        </w:rPr>
        <w:t>« produit »</w:t>
      </w:r>
      <w:r>
        <w:rPr>
          <w:color w:val="222222"/>
          <w:sz w:val="21"/>
        </w:rPr>
        <w:t xml:space="preserve">, </w:t>
      </w:r>
      <w:r>
        <w:rPr>
          <w:b/>
          <w:color w:val="222222"/>
          <w:sz w:val="21"/>
        </w:rPr>
        <w:t>« lit / écrit »</w:t>
      </w:r>
      <w:r>
        <w:rPr>
          <w:color w:val="222222"/>
          <w:sz w:val="21"/>
        </w:rPr>
        <w:t xml:space="preserve"> : ce sont des dépendances d'usage, pas de composition. Les classes ne se possèdent pas, elles se passent des données.</w:t>
      </w:r>
    </w:p>
    <w:tbl>
      <w:tblPr>
        <w:tblW w:type="auto" w:w="0"/>
        <w:jc w:val="center"/>
        <w:tblLayout w:type="fixed"/>
        <w:tblLook w:firstColumn="1" w:firstRow="1" w:lastColumn="0" w:lastRow="0" w:noHBand="0" w:noVBand="1" w:val="04A0"/>
      </w:tblPr>
      <w:tblGrid>
        <w:gridCol w:w="3099"/>
        <w:gridCol w:w="3099"/>
        <w:gridCol w:w="3099"/>
      </w:tblGrid>
      <w:tr>
        <w:tc>
          <w:tcPr>
            <w:tcW w:type="dxa" w:w="1928"/>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Objet</w:t>
            </w:r>
          </w:p>
        </w:tc>
        <w:tc>
          <w:tcPr>
            <w:tcW w:type="dxa" w:w="2494"/>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Produit par</w:t>
            </w:r>
          </w:p>
        </w:tc>
        <w:tc>
          <w:tcPr>
            <w:tcW w:type="dxa" w:w="4876"/>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Ce qu'il porte</w:t>
            </w:r>
          </w:p>
        </w:tc>
      </w:tr>
      <w:tr>
        <w:tc>
          <w:tcPr>
            <w:tcW w:type="dxa" w:w="1928"/>
            <w:tcBorders>
              <w:top w:val="single" w:sz="6" w:color="D9D9D9"/>
              <w:left w:val="single" w:sz="6" w:color="D9D9D9"/>
              <w:bottom w:val="single" w:sz="6" w:color="D9D9D9"/>
              <w:right w:val="single" w:sz="6" w:color="D9D9D9"/>
            </w:tcBorders>
          </w:tcPr>
          <w:p>
            <w:pPr>
              <w:spacing w:before="40" w:after="40"/>
            </w:pPr>
            <w:r>
              <w:rPr>
                <w:rFonts w:ascii="Consolas" w:hAnsi="Consolas"/>
                <w:i w:val="0"/>
                <w:color w:val="A31D1D"/>
                <w:sz w:val="17"/>
              </w:rPr>
              <w:t>Decision</w:t>
            </w:r>
          </w:p>
        </w:tc>
        <w:tc>
          <w:tcPr>
            <w:tcW w:type="dxa" w:w="2494"/>
            <w:tcBorders>
              <w:top w:val="single" w:sz="6" w:color="D9D9D9"/>
              <w:left w:val="single" w:sz="6" w:color="D9D9D9"/>
              <w:bottom w:val="single" w:sz="6" w:color="D9D9D9"/>
              <w:right w:val="single" w:sz="6" w:color="D9D9D9"/>
            </w:tcBorders>
          </w:tcPr>
          <w:p>
            <w:pPr>
              <w:spacing w:before="40" w:after="40"/>
            </w:pPr>
            <w:r>
              <w:rPr>
                <w:rFonts w:ascii="Consolas" w:hAnsi="Consolas"/>
                <w:i w:val="0"/>
                <w:color w:val="A31D1D"/>
                <w:sz w:val="17"/>
              </w:rPr>
              <w:t>GuardrailEngine</w:t>
            </w:r>
          </w:p>
        </w:tc>
        <w:tc>
          <w:tcPr>
            <w:tcW w:type="dxa" w:w="4876"/>
            <w:tcBorders>
              <w:top w:val="single" w:sz="6" w:color="D9D9D9"/>
              <w:left w:val="single" w:sz="6" w:color="D9D9D9"/>
              <w:bottom w:val="single" w:sz="6" w:color="D9D9D9"/>
              <w:right w:val="single" w:sz="6" w:color="D9D9D9"/>
            </w:tcBorders>
          </w:tcPr>
          <w:p>
            <w:pPr>
              <w:spacing w:before="40" w:after="40"/>
            </w:pPr>
            <w:r>
              <w:rPr>
                <w:rFonts w:ascii="Consolas" w:hAnsi="Consolas"/>
                <w:i w:val="0"/>
                <w:color w:val="A31D1D"/>
                <w:sz w:val="17"/>
              </w:rPr>
              <w:t>allowed</w:t>
            </w:r>
            <w:r>
              <w:rPr>
                <w:color w:val="222222"/>
                <w:sz w:val="19"/>
              </w:rPr>
              <w:t xml:space="preserve">, </w:t>
            </w:r>
            <w:r>
              <w:rPr>
                <w:rFonts w:ascii="Consolas" w:hAnsi="Consolas"/>
                <w:i w:val="0"/>
                <w:color w:val="A31D1D"/>
                <w:sz w:val="17"/>
              </w:rPr>
              <w:t>action</w:t>
            </w:r>
            <w:r>
              <w:rPr>
                <w:color w:val="222222"/>
                <w:sz w:val="19"/>
              </w:rPr>
              <w:t xml:space="preserve">, </w:t>
            </w:r>
            <w:r>
              <w:rPr>
                <w:rFonts w:ascii="Consolas" w:hAnsi="Consolas"/>
                <w:i w:val="0"/>
                <w:color w:val="A31D1D"/>
                <w:sz w:val="17"/>
              </w:rPr>
              <w:t>category</w:t>
            </w:r>
            <w:r>
              <w:rPr>
                <w:color w:val="222222"/>
                <w:sz w:val="19"/>
              </w:rPr>
              <w:t xml:space="preserve">, </w:t>
            </w:r>
            <w:r>
              <w:rPr>
                <w:rFonts w:ascii="Consolas" w:hAnsi="Consolas"/>
                <w:i w:val="0"/>
                <w:color w:val="A31D1D"/>
                <w:sz w:val="17"/>
              </w:rPr>
              <w:t>reason</w:t>
            </w:r>
            <w:r>
              <w:rPr>
                <w:color w:val="222222"/>
                <w:sz w:val="19"/>
              </w:rPr>
              <w:t xml:space="preserve">, </w:t>
            </w:r>
            <w:r>
              <w:rPr>
                <w:rFonts w:ascii="Consolas" w:hAnsi="Consolas"/>
                <w:i w:val="0"/>
                <w:color w:val="A31D1D"/>
                <w:sz w:val="17"/>
              </w:rPr>
              <w:t>refusal</w:t>
            </w:r>
            <w:r>
              <w:rPr>
                <w:color w:val="222222"/>
                <w:sz w:val="19"/>
              </w:rPr>
              <w:t xml:space="preserve"> — le verdict </w:t>
            </w:r>
            <w:r>
              <w:rPr>
                <w:b/>
                <w:color w:val="222222"/>
                <w:sz w:val="19"/>
              </w:rPr>
              <w:t>et</w:t>
            </w:r>
            <w:r>
              <w:rPr>
                <w:color w:val="222222"/>
                <w:sz w:val="19"/>
              </w:rPr>
              <w:t xml:space="preserve"> sa justification.</w:t>
            </w:r>
          </w:p>
        </w:tc>
      </w:tr>
      <w:tr>
        <w:tc>
          <w:tcPr>
            <w:tcW w:type="dxa" w:w="1928"/>
            <w:tcBorders>
              <w:top w:val="single" w:sz="6" w:color="D9D9D9"/>
              <w:left w:val="single" w:sz="6" w:color="D9D9D9"/>
              <w:bottom w:val="single" w:sz="6" w:color="D9D9D9"/>
              <w:right w:val="single" w:sz="6" w:color="D9D9D9"/>
            </w:tcBorders>
            <w:shd w:val="clear" w:color="auto" w:fill="F6F8FB"/>
          </w:tcPr>
          <w:p>
            <w:pPr>
              <w:spacing w:before="40" w:after="40"/>
            </w:pPr>
            <w:r>
              <w:rPr>
                <w:rFonts w:ascii="Consolas" w:hAnsi="Consolas"/>
                <w:i w:val="0"/>
                <w:color w:val="A31D1D"/>
                <w:sz w:val="17"/>
              </w:rPr>
              <w:t>MemoryContext</w:t>
            </w:r>
          </w:p>
        </w:tc>
        <w:tc>
          <w:tcPr>
            <w:tcW w:type="dxa" w:w="2494"/>
            <w:tcBorders>
              <w:top w:val="single" w:sz="6" w:color="D9D9D9"/>
              <w:left w:val="single" w:sz="6" w:color="D9D9D9"/>
              <w:bottom w:val="single" w:sz="6" w:color="D9D9D9"/>
              <w:right w:val="single" w:sz="6" w:color="D9D9D9"/>
            </w:tcBorders>
            <w:shd w:val="clear" w:color="auto" w:fill="F6F8FB"/>
          </w:tcPr>
          <w:p>
            <w:pPr>
              <w:spacing w:before="40" w:after="40"/>
            </w:pPr>
            <w:r>
              <w:rPr>
                <w:rFonts w:ascii="Consolas" w:hAnsi="Consolas"/>
                <w:i w:val="0"/>
                <w:color w:val="A31D1D"/>
                <w:sz w:val="17"/>
              </w:rPr>
              <w:t>MemoryManager</w:t>
            </w:r>
          </w:p>
        </w:tc>
        <w:tc>
          <w:tcPr>
            <w:tcW w:type="dxa" w:w="4876"/>
            <w:tcBorders>
              <w:top w:val="single" w:sz="6" w:color="D9D9D9"/>
              <w:left w:val="single" w:sz="6" w:color="D9D9D9"/>
              <w:bottom w:val="single" w:sz="6" w:color="D9D9D9"/>
              <w:right w:val="single" w:sz="6" w:color="D9D9D9"/>
            </w:tcBorders>
            <w:shd w:val="clear" w:color="auto" w:fill="F6F8FB"/>
          </w:tcPr>
          <w:p>
            <w:pPr>
              <w:spacing w:before="40" w:after="40"/>
            </w:pPr>
            <w:r>
              <w:rPr>
                <w:rFonts w:ascii="Consolas" w:hAnsi="Consolas"/>
                <w:i w:val="0"/>
                <w:color w:val="A31D1D"/>
                <w:sz w:val="17"/>
              </w:rPr>
              <w:t>history</w:t>
            </w:r>
            <w:r>
              <w:rPr>
                <w:color w:val="222222"/>
                <w:sz w:val="19"/>
              </w:rPr>
              <w:t xml:space="preserve">, </w:t>
            </w:r>
            <w:r>
              <w:rPr>
                <w:rFonts w:ascii="Consolas" w:hAnsi="Consolas"/>
                <w:i w:val="0"/>
                <w:color w:val="A31D1D"/>
                <w:sz w:val="17"/>
              </w:rPr>
              <w:t>facts</w:t>
            </w:r>
            <w:r>
              <w:rPr>
                <w:color w:val="222222"/>
                <w:sz w:val="19"/>
              </w:rPr>
              <w:t xml:space="preserve">, </w:t>
            </w:r>
            <w:r>
              <w:rPr>
                <w:rFonts w:ascii="Consolas" w:hAnsi="Consolas"/>
                <w:i w:val="0"/>
                <w:color w:val="A31D1D"/>
                <w:sz w:val="17"/>
              </w:rPr>
              <w:t>episodic</w:t>
            </w:r>
            <w:r>
              <w:rPr>
                <w:color w:val="222222"/>
                <w:sz w:val="19"/>
              </w:rPr>
              <w:t xml:space="preserve">, et un </w:t>
            </w:r>
            <w:r>
              <w:rPr>
                <w:rFonts w:ascii="Consolas" w:hAnsi="Consolas"/>
                <w:i w:val="0"/>
                <w:color w:val="A31D1D"/>
                <w:sz w:val="17"/>
              </w:rPr>
              <w:t>render()</w:t>
            </w:r>
            <w:r>
              <w:rPr>
                <w:color w:val="222222"/>
                <w:sz w:val="19"/>
              </w:rPr>
              <w:t xml:space="preserve"> qui met le tout en forme pour le prompt.</w:t>
            </w:r>
          </w:p>
        </w:tc>
      </w:tr>
      <w:tr>
        <w:tc>
          <w:tcPr>
            <w:tcW w:type="dxa" w:w="1928"/>
            <w:tcBorders>
              <w:top w:val="single" w:sz="6" w:color="D9D9D9"/>
              <w:left w:val="single" w:sz="6" w:color="D9D9D9"/>
              <w:bottom w:val="single" w:sz="6" w:color="D9D9D9"/>
              <w:right w:val="single" w:sz="6" w:color="D9D9D9"/>
            </w:tcBorders>
          </w:tcPr>
          <w:p>
            <w:pPr>
              <w:spacing w:before="40" w:after="40"/>
            </w:pPr>
            <w:r>
              <w:rPr>
                <w:rFonts w:ascii="Consolas" w:hAnsi="Consolas"/>
                <w:i w:val="0"/>
                <w:color w:val="A31D1D"/>
                <w:sz w:val="17"/>
              </w:rPr>
              <w:t>FaitSemantique</w:t>
            </w:r>
          </w:p>
        </w:tc>
        <w:tc>
          <w:tcPr>
            <w:tcW w:type="dxa" w:w="2494"/>
            <w:tcBorders>
              <w:top w:val="single" w:sz="6" w:color="D9D9D9"/>
              <w:left w:val="single" w:sz="6" w:color="D9D9D9"/>
              <w:bottom w:val="single" w:sz="6" w:color="D9D9D9"/>
              <w:right w:val="single" w:sz="6" w:color="D9D9D9"/>
            </w:tcBorders>
          </w:tcPr>
          <w:p>
            <w:pPr>
              <w:spacing w:before="40" w:after="40"/>
            </w:pPr>
            <w:r>
              <w:rPr>
                <w:color w:val="222222"/>
                <w:sz w:val="19"/>
              </w:rPr>
              <w:t xml:space="preserve">lu / écrit par </w:t>
            </w:r>
            <w:r>
              <w:rPr>
                <w:rFonts w:ascii="Consolas" w:hAnsi="Consolas"/>
                <w:i w:val="0"/>
                <w:color w:val="A31D1D"/>
                <w:sz w:val="17"/>
              </w:rPr>
              <w:t>MemoryManager</w:t>
            </w:r>
          </w:p>
        </w:tc>
        <w:tc>
          <w:tcPr>
            <w:tcW w:type="dxa" w:w="4876"/>
            <w:tcBorders>
              <w:top w:val="single" w:sz="6" w:color="D9D9D9"/>
              <w:left w:val="single" w:sz="6" w:color="D9D9D9"/>
              <w:bottom w:val="single" w:sz="6" w:color="D9D9D9"/>
              <w:right w:val="single" w:sz="6" w:color="D9D9D9"/>
            </w:tcBorders>
          </w:tcPr>
          <w:p>
            <w:pPr>
              <w:spacing w:before="40" w:after="40"/>
            </w:pPr>
            <w:r>
              <w:rPr>
                <w:color w:val="222222"/>
                <w:sz w:val="19"/>
              </w:rPr>
              <w:t xml:space="preserve">Une ligne de </w:t>
            </w:r>
            <w:r>
              <w:rPr>
                <w:rFonts w:ascii="Consolas" w:hAnsi="Consolas"/>
                <w:i w:val="0"/>
                <w:color w:val="A31D1D"/>
                <w:sz w:val="17"/>
              </w:rPr>
              <w:t>faits_semantiques</w:t>
            </w:r>
            <w:r>
              <w:rPr>
                <w:color w:val="222222"/>
                <w:sz w:val="19"/>
              </w:rPr>
              <w:t xml:space="preserve"> : </w:t>
            </w:r>
            <w:r>
              <w:rPr>
                <w:rFonts w:ascii="Consolas" w:hAnsi="Consolas"/>
                <w:i w:val="0"/>
                <w:color w:val="A31D1D"/>
                <w:sz w:val="17"/>
              </w:rPr>
              <w:t>type</w:t>
            </w:r>
            <w:r>
              <w:rPr>
                <w:color w:val="222222"/>
                <w:sz w:val="19"/>
              </w:rPr>
              <w:t xml:space="preserve">, </w:t>
            </w:r>
            <w:r>
              <w:rPr>
                <w:rFonts w:ascii="Consolas" w:hAnsi="Consolas"/>
                <w:i w:val="0"/>
                <w:color w:val="A31D1D"/>
                <w:sz w:val="17"/>
              </w:rPr>
              <w:t>value</w:t>
            </w:r>
            <w:r>
              <w:rPr>
                <w:color w:val="222222"/>
                <w:sz w:val="19"/>
              </w:rPr>
              <w:t xml:space="preserve">, </w:t>
            </w:r>
            <w:r>
              <w:rPr>
                <w:rFonts w:ascii="Consolas" w:hAnsi="Consolas"/>
                <w:i w:val="0"/>
                <w:color w:val="A31D1D"/>
                <w:sz w:val="17"/>
              </w:rPr>
              <w:t>statut</w:t>
            </w:r>
            <w:r>
              <w:rPr>
                <w:color w:val="222222"/>
                <w:sz w:val="19"/>
              </w:rPr>
              <w:t xml:space="preserve">, </w:t>
            </w:r>
            <w:r>
              <w:rPr>
                <w:rFonts w:ascii="Consolas" w:hAnsi="Consolas"/>
                <w:i w:val="0"/>
                <w:color w:val="A31D1D"/>
                <w:sz w:val="17"/>
              </w:rPr>
              <w:t>source</w:t>
            </w:r>
            <w:r>
              <w:rPr>
                <w:color w:val="222222"/>
                <w:sz w:val="19"/>
              </w:rPr>
              <w:t xml:space="preserve">, </w:t>
            </w:r>
            <w:r>
              <w:rPr>
                <w:rFonts w:ascii="Consolas" w:hAnsi="Consolas"/>
                <w:i w:val="0"/>
                <w:color w:val="A31D1D"/>
                <w:sz w:val="17"/>
              </w:rPr>
              <w:t>confidence</w:t>
            </w:r>
            <w:r>
              <w:rPr>
                <w:color w:val="222222"/>
                <w:sz w:val="19"/>
              </w:rPr>
              <w:t>.</w:t>
            </w:r>
          </w:p>
        </w:tc>
      </w:tr>
      <w:tr>
        <w:tc>
          <w:tcPr>
            <w:tcW w:type="dxa" w:w="1928"/>
            <w:tcBorders>
              <w:top w:val="single" w:sz="6" w:color="D9D9D9"/>
              <w:left w:val="single" w:sz="6" w:color="D9D9D9"/>
              <w:bottom w:val="single" w:sz="6" w:color="D9D9D9"/>
              <w:right w:val="single" w:sz="6" w:color="D9D9D9"/>
            </w:tcBorders>
            <w:shd w:val="clear" w:color="auto" w:fill="F6F8FB"/>
          </w:tcPr>
          <w:p>
            <w:pPr>
              <w:spacing w:before="40" w:after="40"/>
            </w:pPr>
            <w:r>
              <w:rPr>
                <w:rFonts w:ascii="Consolas" w:hAnsi="Consolas"/>
                <w:i w:val="0"/>
                <w:color w:val="A31D1D"/>
                <w:sz w:val="17"/>
              </w:rPr>
              <w:t>Message</w:t>
            </w:r>
          </w:p>
        </w:tc>
        <w:tc>
          <w:tcPr>
            <w:tcW w:type="dxa" w:w="2494"/>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 xml:space="preserve">lu / écrit par </w:t>
            </w:r>
            <w:r>
              <w:rPr>
                <w:rFonts w:ascii="Consolas" w:hAnsi="Consolas"/>
                <w:i w:val="0"/>
                <w:color w:val="A31D1D"/>
                <w:sz w:val="17"/>
              </w:rPr>
              <w:t>MemoryManager</w:t>
            </w:r>
          </w:p>
        </w:tc>
        <w:tc>
          <w:tcPr>
            <w:tcW w:type="dxa" w:w="4876"/>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 xml:space="preserve">Un tour de conversation : </w:t>
            </w:r>
            <w:r>
              <w:rPr>
                <w:rFonts w:ascii="Consolas" w:hAnsi="Consolas"/>
                <w:i w:val="0"/>
                <w:color w:val="A31D1D"/>
                <w:sz w:val="17"/>
              </w:rPr>
              <w:t>session_id</w:t>
            </w:r>
            <w:r>
              <w:rPr>
                <w:color w:val="222222"/>
                <w:sz w:val="19"/>
              </w:rPr>
              <w:t xml:space="preserve">, </w:t>
            </w:r>
            <w:r>
              <w:rPr>
                <w:rFonts w:ascii="Consolas" w:hAnsi="Consolas"/>
                <w:i w:val="0"/>
                <w:color w:val="A31D1D"/>
                <w:sz w:val="17"/>
              </w:rPr>
              <w:t>turn_index</w:t>
            </w:r>
            <w:r>
              <w:rPr>
                <w:color w:val="222222"/>
                <w:sz w:val="19"/>
              </w:rPr>
              <w:t xml:space="preserve">, </w:t>
            </w:r>
            <w:r>
              <w:rPr>
                <w:rFonts w:ascii="Consolas" w:hAnsi="Consolas"/>
                <w:i w:val="0"/>
                <w:color w:val="A31D1D"/>
                <w:sz w:val="17"/>
              </w:rPr>
              <w:t>role</w:t>
            </w:r>
            <w:r>
              <w:rPr>
                <w:color w:val="222222"/>
                <w:sz w:val="19"/>
              </w:rPr>
              <w:t xml:space="preserve">, </w:t>
            </w:r>
            <w:r>
              <w:rPr>
                <w:rFonts w:ascii="Consolas" w:hAnsi="Consolas"/>
                <w:i w:val="0"/>
                <w:color w:val="A31D1D"/>
                <w:sz w:val="17"/>
              </w:rPr>
              <w:t>content</w:t>
            </w:r>
            <w:r>
              <w:rPr>
                <w:color w:val="222222"/>
                <w:sz w:val="19"/>
              </w:rPr>
              <w:t>.</w:t>
            </w:r>
          </w:p>
        </w:tc>
      </w:tr>
    </w:tbl>
    <w:p>
      <w:pPr>
        <w:spacing w:after="40"/>
      </w:pPr>
    </w:p>
    <w:p>
      <w:pPr>
        <w:pStyle w:val="Heading2"/>
      </w:pPr>
      <w:r>
        <w:t>Ce que le schéma décide</w:t>
      </w:r>
    </w:p>
    <w:p>
      <w:pPr>
        <w:pStyle w:val="ListBullet"/>
        <w:spacing w:after="60"/>
        <w:ind w:left="340" w:hanging="198"/>
      </w:pPr>
      <w:r>
        <w:rPr>
          <w:b/>
          <w:color w:val="222222"/>
          <w:sz w:val="21"/>
        </w:rPr>
        <w:t>`Decision` est un objet, pas un booléen.</w:t>
      </w:r>
      <w:r>
        <w:rPr>
          <w:color w:val="222222"/>
          <w:sz w:val="21"/>
        </w:rPr>
        <w:t xml:space="preserve"> Un garde-fou ne répond pas </w:t>
      </w:r>
      <w:r>
        <w:rPr>
          <w:i/>
          <w:color w:val="222222"/>
          <w:sz w:val="21"/>
        </w:rPr>
        <w:t>oui / non</w:t>
      </w:r>
      <w:r>
        <w:rPr>
          <w:color w:val="222222"/>
          <w:sz w:val="21"/>
        </w:rPr>
        <w:t xml:space="preserve"> : il rend un verdict documenté — la catégorie déclenchée, la raison, et le message de refus prêt à servir. C'est ce qui rend la journalisation et l'audit possibles, et c'est ce qui permet d'adapter le ton du refus à la catégorie.</w:t>
      </w:r>
    </w:p>
    <w:p>
      <w:pPr>
        <w:pStyle w:val="ListBullet"/>
        <w:spacing w:after="60"/>
        <w:ind w:left="340" w:hanging="198"/>
      </w:pPr>
      <w:r>
        <w:rPr>
          <w:b/>
          <w:color w:val="222222"/>
          <w:sz w:val="21"/>
        </w:rPr>
        <w:t>`FaitSemantique` porte `source` et `confidence`.</w:t>
      </w:r>
      <w:r>
        <w:rPr>
          <w:color w:val="222222"/>
          <w:sz w:val="21"/>
        </w:rPr>
        <w:t xml:space="preserve"> Ces deux colonnes ne sont pas cosmétiques : elles arbitrent les contradictions. Face à « pointure 42 » puis « 43 », on garde la plus récente et on applique la règle </w:t>
      </w:r>
      <w:r>
        <w:rPr>
          <w:b/>
          <w:color w:val="222222"/>
          <w:sz w:val="21"/>
        </w:rPr>
        <w:t>déclaration du client &gt; déduction de l'agent</w:t>
      </w:r>
      <w:r>
        <w:rPr>
          <w:color w:val="222222"/>
          <w:sz w:val="21"/>
        </w:rPr>
        <w:t xml:space="preserve">. </w:t>
      </w:r>
      <w:r>
        <w:rPr>
          <w:rFonts w:ascii="Consolas" w:hAnsi="Consolas"/>
          <w:i w:val="0"/>
          <w:color w:val="A31D1D"/>
          <w:sz w:val="19"/>
        </w:rPr>
        <w:t>confidence</w:t>
      </w:r>
      <w:r>
        <w:rPr>
          <w:color w:val="222222"/>
          <w:sz w:val="21"/>
        </w:rPr>
        <w:t xml:space="preserve"> vaut </w:t>
      </w:r>
      <w:r>
        <w:rPr>
          <w:i/>
          <w:color w:val="222222"/>
          <w:sz w:val="21"/>
        </w:rPr>
        <w:t>élevé</w:t>
      </w:r>
      <w:r>
        <w:rPr>
          <w:color w:val="222222"/>
          <w:sz w:val="21"/>
        </w:rPr>
        <w:t xml:space="preserve"> si le fait vient d'une règle, </w:t>
      </w:r>
      <w:r>
        <w:rPr>
          <w:i/>
          <w:color w:val="222222"/>
          <w:sz w:val="21"/>
        </w:rPr>
        <w:t>moyen</w:t>
      </w:r>
      <w:r>
        <w:rPr>
          <w:color w:val="222222"/>
          <w:sz w:val="21"/>
        </w:rPr>
        <w:t xml:space="preserve"> s'il vient du LLM.</w:t>
      </w:r>
    </w:p>
    <w:p>
      <w:pPr>
        <w:pStyle w:val="ListBullet"/>
        <w:spacing w:after="60"/>
        <w:ind w:left="340" w:hanging="198"/>
      </w:pPr>
      <w:r>
        <w:rPr>
          <w:b/>
          <w:color w:val="222222"/>
          <w:sz w:val="21"/>
        </w:rPr>
        <w:t>Les méthodes privées d'`Agent` sont visibles</w:t>
      </w:r>
      <w:r>
        <w:rPr>
          <w:color w:val="222222"/>
          <w:sz w:val="21"/>
        </w:rPr>
        <w:t xml:space="preserve"> (</w:t>
      </w:r>
      <w:r>
        <w:rPr>
          <w:rFonts w:ascii="Consolas" w:hAnsi="Consolas"/>
          <w:i w:val="0"/>
          <w:color w:val="A31D1D"/>
          <w:sz w:val="19"/>
        </w:rPr>
        <w:t>_handle</w:t>
      </w:r>
      <w:r>
        <w:rPr>
          <w:color w:val="222222"/>
          <w:sz w:val="21"/>
        </w:rPr>
        <w:t xml:space="preserve">, </w:t>
      </w:r>
      <w:r>
        <w:rPr>
          <w:rFonts w:ascii="Consolas" w:hAnsi="Consolas"/>
          <w:i w:val="0"/>
          <w:color w:val="A31D1D"/>
          <w:sz w:val="19"/>
        </w:rPr>
        <w:t>_confirm_or_act</w:t>
      </w:r>
      <w:r>
        <w:rPr>
          <w:color w:val="222222"/>
          <w:sz w:val="21"/>
        </w:rPr>
        <w:t xml:space="preserve">, </w:t>
      </w:r>
      <w:r>
        <w:rPr>
          <w:rFonts w:ascii="Consolas" w:hAnsi="Consolas"/>
          <w:i w:val="0"/>
          <w:color w:val="A31D1D"/>
          <w:sz w:val="19"/>
        </w:rPr>
        <w:t>_handle_stock</w:t>
      </w:r>
      <w:r>
        <w:rPr>
          <w:color w:val="222222"/>
          <w:sz w:val="21"/>
        </w:rPr>
        <w:t xml:space="preserve">, </w:t>
      </w:r>
      <w:r>
        <w:rPr>
          <w:rFonts w:ascii="Consolas" w:hAnsi="Consolas"/>
          <w:i w:val="0"/>
          <w:color w:val="A31D1D"/>
          <w:sz w:val="19"/>
        </w:rPr>
        <w:t>_find_ref</w:t>
      </w:r>
      <w:r>
        <w:rPr>
          <w:color w:val="222222"/>
          <w:sz w:val="21"/>
        </w:rPr>
        <w:t xml:space="preserve">). Elles racontent que la logique métier — confirmer avant d'agir, chercher une référence de commande — est </w:t>
      </w:r>
      <w:r>
        <w:rPr>
          <w:b/>
          <w:color w:val="222222"/>
          <w:sz w:val="21"/>
        </w:rPr>
        <w:t>du code déterministe</w:t>
      </w:r>
      <w:r>
        <w:rPr>
          <w:color w:val="222222"/>
          <w:sz w:val="21"/>
        </w:rPr>
        <w:t>, pas une consigne confiée au LLM.</w:t>
      </w:r>
    </w:p>
    <w:p>
      <w:pPr>
        <w:pStyle w:val="ListBullet"/>
        <w:spacing w:after="60"/>
        <w:ind w:left="340" w:hanging="198"/>
      </w:pPr>
      <w:r>
        <w:rPr>
          <w:b/>
          <w:color w:val="222222"/>
          <w:sz w:val="21"/>
        </w:rPr>
        <w:t>`MemoryManager` expose `forget` et `inspect` comme méthodes de premier rang.</w:t>
      </w:r>
      <w:r>
        <w:rPr>
          <w:color w:val="222222"/>
          <w:sz w:val="21"/>
        </w:rPr>
        <w:t xml:space="preserve"> </w:t>
      </w:r>
      <w:r>
        <w:rPr>
          <w:b/>
          <w:color w:val="222222"/>
          <w:sz w:val="21"/>
        </w:rPr>
        <w:t>R5</w:t>
      </w:r>
      <w:r>
        <w:rPr>
          <w:color w:val="222222"/>
          <w:sz w:val="21"/>
        </w:rPr>
        <w:t xml:space="preserve"> et </w:t>
      </w:r>
      <w:r>
        <w:rPr>
          <w:b/>
          <w:color w:val="222222"/>
          <w:sz w:val="21"/>
        </w:rPr>
        <w:t>R6</w:t>
      </w:r>
      <w:r>
        <w:rPr>
          <w:color w:val="222222"/>
          <w:sz w:val="21"/>
        </w:rPr>
        <w:t xml:space="preserve"> ne sont pas des scripts d'administration annexes : ce sont des opérations de l'API mémoire.</w:t>
      </w:r>
    </w:p>
    <w:p>
      <w:pPr>
        <w:pStyle w:val="Heading2"/>
      </w:pPr>
      <w:r>
        <w:t>Limites et écarts</w:t>
      </w:r>
    </w:p>
    <w:p>
      <w:pPr>
        <w:pStyle w:val="ListBullet"/>
        <w:spacing w:after="60"/>
        <w:ind w:left="340" w:hanging="198"/>
      </w:pPr>
      <w:r>
        <w:rPr>
          <w:color w:val="222222"/>
          <w:sz w:val="21"/>
        </w:rPr>
        <w:t xml:space="preserve">Le schéma montre </w:t>
      </w:r>
      <w:r>
        <w:rPr>
          <w:rFonts w:ascii="Consolas" w:hAnsi="Consolas"/>
          <w:i w:val="0"/>
          <w:color w:val="A31D1D"/>
          <w:sz w:val="19"/>
        </w:rPr>
        <w:t>MemoryContext.episodic</w:t>
      </w:r>
      <w:r>
        <w:rPr>
          <w:color w:val="222222"/>
          <w:sz w:val="21"/>
        </w:rPr>
        <w:t xml:space="preserve"> comme une liste : le champ existe, mais il reste vide tant que le magasin vectoriel n'est pas construit (§2).</w:t>
      </w:r>
    </w:p>
    <w:p>
      <w:pPr>
        <w:pStyle w:val="ListBullet"/>
        <w:spacing w:after="60"/>
        <w:ind w:left="340" w:hanging="198"/>
      </w:pPr>
      <w:r>
        <w:rPr>
          <w:color w:val="222222"/>
          <w:sz w:val="21"/>
        </w:rPr>
        <w:t xml:space="preserve">Le crochet </w:t>
      </w:r>
      <w:r>
        <w:rPr>
          <w:rFonts w:ascii="Consolas" w:hAnsi="Consolas"/>
          <w:i w:val="0"/>
          <w:color w:val="A31D1D"/>
          <w:sz w:val="19"/>
        </w:rPr>
        <w:t>moderator</w:t>
      </w:r>
      <w:r>
        <w:rPr>
          <w:color w:val="222222"/>
          <w:sz w:val="21"/>
        </w:rPr>
        <w:t xml:space="preserve"> du </w:t>
      </w:r>
      <w:r>
        <w:rPr>
          <w:rFonts w:ascii="Consolas" w:hAnsi="Consolas"/>
          <w:i w:val="0"/>
          <w:color w:val="A31D1D"/>
          <w:sz w:val="19"/>
        </w:rPr>
        <w:t>GuardrailEngine</w:t>
      </w:r>
      <w:r>
        <w:rPr>
          <w:color w:val="222222"/>
          <w:sz w:val="21"/>
        </w:rPr>
        <w:t xml:space="preserve"> (voir §7) n'apparaît pas dans les attributs : c'est une dépendance </w:t>
      </w:r>
      <w:r>
        <w:rPr>
          <w:b/>
          <w:color w:val="222222"/>
          <w:sz w:val="21"/>
        </w:rPr>
        <w:t>injectée et optionnelle</w:t>
      </w:r>
      <w:r>
        <w:rPr>
          <w:color w:val="222222"/>
          <w:sz w:val="21"/>
        </w:rPr>
        <w:t xml:space="preserve">, </w:t>
      </w:r>
      <w:r>
        <w:rPr>
          <w:rFonts w:ascii="Consolas" w:hAnsi="Consolas"/>
          <w:i w:val="0"/>
          <w:color w:val="A31D1D"/>
          <w:sz w:val="19"/>
        </w:rPr>
        <w:t>None</w:t>
      </w:r>
      <w:r>
        <w:rPr>
          <w:color w:val="222222"/>
          <w:sz w:val="21"/>
        </w:rPr>
        <w:t xml:space="preserve"> par défaut, que le diagramme de classes n'expose pas.</w:t>
      </w:r>
    </w:p>
    <w:p>
      <w:r>
        <w:br w:type="page"/>
      </w:r>
    </w:p>
    <w:p>
      <w:pPr>
        <w:pStyle w:val="Heading1"/>
      </w:pPr>
      <w:r>
        <w:t>4. Séquence des interactions entre classes</w:t>
      </w:r>
    </w:p>
    <w:p>
      <w:pPr>
        <w:spacing w:after="200"/>
      </w:pPr>
      <w:r>
        <w:rPr>
          <w:i/>
          <w:color w:val="334455"/>
          <w:sz w:val="22"/>
        </w:rPr>
        <w:t>Question posée : dans quel ordre exact les classes s'appellent-elles, et que se renvoient-elles ?</w:t>
      </w:r>
    </w:p>
    <w:p>
      <w:pPr>
        <w:keepNext/>
        <w:spacing w:before="120" w:after="60"/>
        <w:jc w:val="center"/>
      </w:pPr>
      <w:r>
        <w:drawing>
          <wp:inline xmlns:a="http://schemas.openxmlformats.org/drawingml/2006/main" xmlns:pic="http://schemas.openxmlformats.org/drawingml/2006/picture">
            <wp:extent cx="5903999" cy="6026621"/>
            <wp:docPr id="4" name="Picture 4"/>
            <wp:cNvGraphicFramePr>
              <a:graphicFrameLocks noChangeAspect="1"/>
            </wp:cNvGraphicFramePr>
            <a:graphic>
              <a:graphicData uri="http://schemas.openxmlformats.org/drawingml/2006/picture">
                <pic:pic>
                  <pic:nvPicPr>
                    <pic:cNvPr id="0" name="sequence-des-interactions-entre-classes.png"/>
                    <pic:cNvPicPr/>
                  </pic:nvPicPr>
                  <pic:blipFill>
                    <a:blip r:embed="rId13"/>
                    <a:stretch>
                      <a:fillRect/>
                    </a:stretch>
                  </pic:blipFill>
                  <pic:spPr>
                    <a:xfrm>
                      <a:off x="0" y="0"/>
                      <a:ext cx="5903999" cy="6026621"/>
                    </a:xfrm>
                    <a:prstGeom prst="rect"/>
                  </pic:spPr>
                </pic:pic>
              </a:graphicData>
            </a:graphic>
          </wp:inline>
        </w:drawing>
      </w:r>
    </w:p>
    <w:p>
      <w:pPr>
        <w:spacing w:after="240"/>
        <w:jc w:val="center"/>
      </w:pPr>
      <w:r>
        <w:rPr>
          <w:i/>
          <w:color w:val="595959"/>
          <w:sz w:val="18"/>
        </w:rPr>
        <w:t xml:space="preserve">Figure 4 — Trace fidèle de </w:t>
      </w:r>
      <w:r>
        <w:rPr>
          <w:rFonts w:ascii="Consolas" w:hAnsi="Consolas"/>
          <w:i/>
          <w:color w:val="595959"/>
          <w:sz w:val="16"/>
        </w:rPr>
        <w:t>agent.respond()</w:t>
      </w:r>
      <w:r>
        <w:rPr>
          <w:i/>
          <w:color w:val="595959"/>
          <w:sz w:val="18"/>
        </w:rPr>
        <w:t xml:space="preserve"> : les appels de méthodes, les allers-retours base et les valeurs de retour.</w:t>
      </w:r>
    </w:p>
    <w:p>
      <w:pPr>
        <w:pStyle w:val="Heading2"/>
      </w:pPr>
      <w:r>
        <w:t>Ce que montre le schéma</w:t>
      </w:r>
    </w:p>
    <w:p>
      <w:r>
        <w:rPr>
          <w:color w:val="222222"/>
          <w:sz w:val="21"/>
        </w:rPr>
        <w:t xml:space="preserve">C'est la vue </w:t>
      </w:r>
      <w:r>
        <w:rPr>
          <w:b/>
          <w:color w:val="222222"/>
          <w:sz w:val="21"/>
        </w:rPr>
        <w:t>dynamique</w:t>
      </w:r>
      <w:r>
        <w:rPr>
          <w:color w:val="222222"/>
          <w:sz w:val="21"/>
        </w:rPr>
        <w:t xml:space="preserve">, complémentaire des deux précédentes. Le §1 montrait le </w:t>
      </w:r>
      <w:r>
        <w:rPr>
          <w:i/>
          <w:color w:val="222222"/>
          <w:sz w:val="21"/>
        </w:rPr>
        <w:t>quoi</w:t>
      </w:r>
      <w:r>
        <w:rPr>
          <w:color w:val="222222"/>
          <w:sz w:val="21"/>
        </w:rPr>
        <w:t xml:space="preserve"> — les étapes. Le §3 montrait la </w:t>
      </w:r>
      <w:r>
        <w:rPr>
          <w:i/>
          <w:color w:val="222222"/>
          <w:sz w:val="21"/>
        </w:rPr>
        <w:t>structure</w:t>
      </w:r>
      <w:r>
        <w:rPr>
          <w:color w:val="222222"/>
          <w:sz w:val="21"/>
        </w:rPr>
        <w:t xml:space="preserve"> — les classes au repos. Le §4 montre le </w:t>
      </w:r>
      <w:r>
        <w:rPr>
          <w:b/>
          <w:color w:val="222222"/>
          <w:sz w:val="21"/>
        </w:rPr>
        <w:t>*comment</w:t>
      </w:r>
      <w:r>
        <w:rPr>
          <w:i/>
          <w:color w:val="222222"/>
          <w:sz w:val="21"/>
        </w:rPr>
        <w:t xml:space="preserve"> : qui appelle qui, dans quel ordre, et surtout </w:t>
      </w:r>
      <w:r>
        <w:rPr>
          <w:i/>
          <w:color w:val="222222"/>
          <w:sz w:val="21"/>
        </w:rPr>
        <w:t>ce qui revient</w:t>
      </w:r>
      <w:r>
        <w:rPr>
          <w:color w:val="222222"/>
          <w:sz w:val="21"/>
        </w:rPr>
        <w:t>*. Les trois ne sont pas redondants ; ils ne répondent pas à la même question.</w:t>
      </w:r>
    </w:p>
    <w:p>
      <w:r>
        <w:rPr>
          <w:color w:val="222222"/>
          <w:sz w:val="21"/>
        </w:rPr>
        <w:t xml:space="preserve">Le temps s'écoule </w:t>
      </w:r>
      <w:r>
        <w:rPr>
          <w:b/>
          <w:color w:val="222222"/>
          <w:sz w:val="21"/>
        </w:rPr>
        <w:t>de haut en bas</w:t>
      </w:r>
      <w:r>
        <w:rPr>
          <w:color w:val="222222"/>
          <w:sz w:val="21"/>
        </w:rPr>
        <w:t xml:space="preserve">. Chaque colonne verticale est un participant. Les flèches pleines sont des appels, les flèches en pointillés des retours. Deux blocs encadrés structurent la lecture : un </w:t>
      </w:r>
      <w:r>
        <w:rPr>
          <w:rFonts w:ascii="Consolas" w:hAnsi="Consolas"/>
          <w:i w:val="0"/>
          <w:color w:val="A31D1D"/>
          <w:sz w:val="19"/>
        </w:rPr>
        <w:t>alt</w:t>
      </w:r>
      <w:r>
        <w:rPr>
          <w:color w:val="222222"/>
          <w:sz w:val="21"/>
        </w:rPr>
        <w:t xml:space="preserve"> (deux branches exclusives) et un </w:t>
      </w:r>
      <w:r>
        <w:rPr>
          <w:rFonts w:ascii="Consolas" w:hAnsi="Consolas"/>
          <w:i w:val="0"/>
          <w:color w:val="A31D1D"/>
          <w:sz w:val="19"/>
        </w:rPr>
        <w:t>opt</w:t>
      </w:r>
      <w:r>
        <w:rPr>
          <w:color w:val="222222"/>
          <w:sz w:val="21"/>
        </w:rPr>
        <w:t xml:space="preserve"> (une branche conditionnelle).</w:t>
      </w:r>
    </w:p>
    <w:p>
      <w:pPr>
        <w:pStyle w:val="Heading2"/>
      </w:pPr>
      <w:r>
        <w:t>Lecture guidée</w:t>
      </w:r>
    </w:p>
    <w:p>
      <w:pPr>
        <w:pStyle w:val="Heading3"/>
      </w:pPr>
      <w:r>
        <w:t>Le tronc commun</w:t>
      </w:r>
    </w:p>
    <w:p>
      <w:r>
        <w:rPr>
          <w:rFonts w:ascii="Consolas" w:hAnsi="Consolas"/>
          <w:i w:val="0"/>
          <w:color w:val="A31D1D"/>
          <w:sz w:val="19"/>
        </w:rPr>
        <w:t>Client</w:t>
      </w:r>
      <w:r>
        <w:rPr>
          <w:color w:val="222222"/>
          <w:sz w:val="21"/>
        </w:rPr>
        <w:t xml:space="preserve"> appelle </w:t>
      </w:r>
      <w:r>
        <w:rPr>
          <w:rFonts w:ascii="Consolas" w:hAnsi="Consolas"/>
          <w:i w:val="0"/>
          <w:color w:val="A31D1D"/>
          <w:sz w:val="19"/>
        </w:rPr>
        <w:t>respond(user_id, message)</w:t>
      </w:r>
      <w:r>
        <w:rPr>
          <w:color w:val="222222"/>
          <w:sz w:val="21"/>
        </w:rPr>
        <w:t xml:space="preserve"> sur l'</w:t>
      </w:r>
      <w:r>
        <w:rPr>
          <w:rFonts w:ascii="Consolas" w:hAnsi="Consolas"/>
          <w:i w:val="0"/>
          <w:color w:val="A31D1D"/>
          <w:sz w:val="19"/>
        </w:rPr>
        <w:t>Agent</w:t>
      </w:r>
      <w:r>
        <w:rPr>
          <w:color w:val="222222"/>
          <w:sz w:val="21"/>
        </w:rPr>
        <w:t xml:space="preserve">, qui appelle immédiatement </w:t>
      </w:r>
      <w:r>
        <w:rPr>
          <w:rFonts w:ascii="Consolas" w:hAnsi="Consolas"/>
          <w:i w:val="0"/>
          <w:color w:val="A31D1D"/>
          <w:sz w:val="19"/>
        </w:rPr>
        <w:t>check_input(message)</w:t>
      </w:r>
      <w:r>
        <w:rPr>
          <w:color w:val="222222"/>
          <w:sz w:val="21"/>
        </w:rPr>
        <w:t xml:space="preserve"> sur le </w:t>
      </w:r>
      <w:r>
        <w:rPr>
          <w:rFonts w:ascii="Consolas" w:hAnsi="Consolas"/>
          <w:i w:val="0"/>
          <w:color w:val="A31D1D"/>
          <w:sz w:val="19"/>
        </w:rPr>
        <w:t>GuardrailEngine</w:t>
      </w:r>
      <w:r>
        <w:rPr>
          <w:color w:val="222222"/>
          <w:sz w:val="21"/>
        </w:rPr>
        <w:t>. Tout le reste dépend de ce premier verdict.</w:t>
      </w:r>
    </w:p>
    <w:p>
      <w:pPr>
        <w:pStyle w:val="Heading3"/>
      </w:pPr>
      <w:r>
        <w:t xml:space="preserve">Branche 1 du bloc </w:t>
      </w:r>
      <w:r>
        <w:rPr>
          <w:rFonts w:ascii="Consolas" w:hAnsi="Consolas"/>
        </w:rPr>
        <w:t>alt</w:t>
      </w:r>
      <w:r>
        <w:t xml:space="preserve"> — message bloqué</w:t>
      </w:r>
    </w:p>
    <w:p>
      <w:pPr>
        <w:pStyle w:val="ListNumber"/>
        <w:spacing w:after="60"/>
        <w:ind w:left="397" w:hanging="227"/>
      </w:pPr>
      <w:r>
        <w:rPr>
          <w:color w:val="222222"/>
          <w:sz w:val="21"/>
        </w:rPr>
        <w:t xml:space="preserve">Le moteur renvoie </w:t>
      </w:r>
      <w:r>
        <w:rPr>
          <w:rFonts w:ascii="Consolas" w:hAnsi="Consolas"/>
          <w:i w:val="0"/>
          <w:color w:val="A31D1D"/>
          <w:sz w:val="19"/>
        </w:rPr>
        <w:t>Decision(block, refusal)</w:t>
      </w:r>
      <w:r>
        <w:rPr>
          <w:color w:val="222222"/>
          <w:sz w:val="21"/>
        </w:rPr>
        <w:t>.</w:t>
      </w:r>
    </w:p>
    <w:p>
      <w:pPr>
        <w:pStyle w:val="ListNumber"/>
        <w:spacing w:after="60"/>
        <w:ind w:left="397" w:hanging="227"/>
      </w:pPr>
      <w:r>
        <w:rPr>
          <w:color w:val="222222"/>
          <w:sz w:val="21"/>
        </w:rPr>
        <w:t xml:space="preserve">L'agent appelle </w:t>
      </w:r>
      <w:r>
        <w:rPr>
          <w:b/>
          <w:color w:val="222222"/>
          <w:sz w:val="21"/>
        </w:rPr>
        <w:t>quand même</w:t>
      </w:r>
      <w:r>
        <w:rPr>
          <w:color w:val="222222"/>
          <w:sz w:val="21"/>
        </w:rPr>
        <w:t xml:space="preserve"> </w:t>
      </w:r>
      <w:r>
        <w:rPr>
          <w:rFonts w:ascii="Consolas" w:hAnsi="Consolas"/>
          <w:i w:val="0"/>
          <w:color w:val="A31D1D"/>
          <w:sz w:val="19"/>
        </w:rPr>
        <w:t>memory.write(user_id, message, refusal)</w:t>
      </w:r>
      <w:r>
        <w:rPr>
          <w:color w:val="222222"/>
          <w:sz w:val="21"/>
        </w:rPr>
        <w:t xml:space="preserve"> — le tour bloqué est enregistré.</w:t>
      </w:r>
    </w:p>
    <w:p>
      <w:pPr>
        <w:pStyle w:val="ListNumber"/>
        <w:spacing w:after="60"/>
        <w:ind w:left="397" w:hanging="227"/>
      </w:pPr>
      <w:r>
        <w:rPr>
          <w:color w:val="222222"/>
          <w:sz w:val="21"/>
        </w:rPr>
        <w:t xml:space="preserve">Le </w:t>
      </w:r>
      <w:r>
        <w:rPr>
          <w:rFonts w:ascii="Consolas" w:hAnsi="Consolas"/>
          <w:i w:val="0"/>
          <w:color w:val="A31D1D"/>
          <w:sz w:val="19"/>
        </w:rPr>
        <w:t>MemoryManager</w:t>
      </w:r>
      <w:r>
        <w:rPr>
          <w:color w:val="222222"/>
          <w:sz w:val="21"/>
        </w:rPr>
        <w:t xml:space="preserve"> fait un </w:t>
      </w:r>
      <w:r>
        <w:rPr>
          <w:rFonts w:ascii="Consolas" w:hAnsi="Consolas"/>
          <w:i w:val="0"/>
          <w:color w:val="A31D1D"/>
          <w:sz w:val="19"/>
        </w:rPr>
        <w:t>INSERT messages</w:t>
      </w:r>
      <w:r>
        <w:rPr>
          <w:color w:val="222222"/>
          <w:sz w:val="21"/>
        </w:rPr>
        <w:t xml:space="preserve"> en base.</w:t>
      </w:r>
    </w:p>
    <w:p>
      <w:pPr>
        <w:pStyle w:val="ListNumber"/>
        <w:spacing w:after="60"/>
        <w:ind w:left="397" w:hanging="227"/>
      </w:pPr>
      <w:r>
        <w:rPr>
          <w:color w:val="222222"/>
          <w:sz w:val="21"/>
        </w:rPr>
        <w:t>L'agent renvoie le refus poli au client.</w:t>
      </w:r>
    </w:p>
    <w:p>
      <w:r>
        <w:rPr>
          <w:b/>
          <w:color w:val="222222"/>
          <w:sz w:val="21"/>
        </w:rPr>
        <w:t>Le point de lecture important :</w:t>
      </w:r>
      <w:r>
        <w:rPr>
          <w:color w:val="222222"/>
          <w:sz w:val="21"/>
        </w:rPr>
        <w:t xml:space="preserve"> dans cette branche, ni le LLM ni les outils n'apparaissent. Un message bloqué ne coûte </w:t>
      </w:r>
      <w:r>
        <w:rPr>
          <w:b/>
          <w:color w:val="222222"/>
          <w:sz w:val="21"/>
        </w:rPr>
        <w:t>aucun appel au modèle</w:t>
      </w:r>
      <w:r>
        <w:rPr>
          <w:color w:val="222222"/>
          <w:sz w:val="21"/>
        </w:rPr>
        <w:t xml:space="preserve"> — c'est la conséquence directe du garde-fou placé en code, avant le LLM (§7).</w:t>
      </w:r>
    </w:p>
    <w:p>
      <w:pPr>
        <w:pStyle w:val="Heading3"/>
      </w:pPr>
      <w:r>
        <w:t xml:space="preserve">Branche 2 du bloc </w:t>
      </w:r>
      <w:r>
        <w:rPr>
          <w:rFonts w:ascii="Consolas" w:hAnsi="Consolas"/>
        </w:rPr>
        <w:t>alt</w:t>
      </w:r>
      <w:r>
        <w:t xml:space="preserve"> — message autorisé</w:t>
      </w:r>
    </w:p>
    <w:p>
      <w:pPr>
        <w:pStyle w:val="ListNumber"/>
        <w:spacing w:after="60"/>
        <w:ind w:left="397" w:hanging="227"/>
      </w:pPr>
      <w:r>
        <w:rPr>
          <w:rFonts w:ascii="Consolas" w:hAnsi="Consolas"/>
          <w:i w:val="0"/>
          <w:color w:val="A31D1D"/>
          <w:sz w:val="19"/>
        </w:rPr>
        <w:t>Decision(allow)</w:t>
      </w:r>
      <w:r>
        <w:rPr>
          <w:color w:val="222222"/>
          <w:sz w:val="21"/>
        </w:rPr>
        <w:t xml:space="preserve"> revient.</w:t>
      </w:r>
    </w:p>
    <w:p>
      <w:pPr>
        <w:pStyle w:val="ListNumber"/>
        <w:spacing w:after="60"/>
        <w:ind w:left="397" w:hanging="227"/>
      </w:pPr>
      <w:r>
        <w:rPr>
          <w:rFonts w:ascii="Consolas" w:hAnsi="Consolas"/>
          <w:i w:val="0"/>
          <w:color w:val="A31D1D"/>
          <w:sz w:val="19"/>
        </w:rPr>
        <w:t>memory.read(user_id, message)</w:t>
      </w:r>
      <w:r>
        <w:rPr>
          <w:color w:val="222222"/>
          <w:sz w:val="21"/>
        </w:rPr>
        <w:t xml:space="preserve"> → le </w:t>
      </w:r>
      <w:r>
        <w:rPr>
          <w:rFonts w:ascii="Consolas" w:hAnsi="Consolas"/>
          <w:i w:val="0"/>
          <w:color w:val="A31D1D"/>
          <w:sz w:val="19"/>
        </w:rPr>
        <w:t>MemoryManager</w:t>
      </w:r>
      <w:r>
        <w:rPr>
          <w:color w:val="222222"/>
          <w:sz w:val="21"/>
        </w:rPr>
        <w:t xml:space="preserve"> fait un </w:t>
      </w:r>
      <w:r>
        <w:rPr>
          <w:rFonts w:ascii="Consolas" w:hAnsi="Consolas"/>
          <w:i w:val="0"/>
          <w:color w:val="A31D1D"/>
          <w:sz w:val="19"/>
        </w:rPr>
        <w:t>SELECT faits + messages</w:t>
      </w:r>
      <w:r>
        <w:rPr>
          <w:color w:val="222222"/>
          <w:sz w:val="21"/>
        </w:rPr>
        <w:t xml:space="preserve"> et renvoie un </w:t>
      </w:r>
      <w:r>
        <w:rPr>
          <w:rFonts w:ascii="Consolas" w:hAnsi="Consolas"/>
          <w:i w:val="0"/>
          <w:color w:val="A31D1D"/>
          <w:sz w:val="19"/>
        </w:rPr>
        <w:t>MemoryContext</w:t>
      </w:r>
      <w:r>
        <w:rPr>
          <w:color w:val="222222"/>
          <w:sz w:val="21"/>
        </w:rPr>
        <w:t>.</w:t>
      </w:r>
    </w:p>
    <w:p>
      <w:pPr>
        <w:pStyle w:val="ListNumber"/>
        <w:spacing w:after="60"/>
        <w:ind w:left="397" w:hanging="227"/>
      </w:pPr>
      <w:r>
        <w:rPr>
          <w:rFonts w:ascii="Consolas" w:hAnsi="Consolas"/>
          <w:i w:val="0"/>
          <w:color w:val="A31D1D"/>
          <w:sz w:val="19"/>
        </w:rPr>
        <w:t>_handle()</w:t>
      </w:r>
      <w:r>
        <w:rPr>
          <w:color w:val="222222"/>
          <w:sz w:val="21"/>
        </w:rPr>
        <w:t xml:space="preserve"> déclenche les outils et le LLM, et renvoie une </w:t>
      </w:r>
      <w:r>
        <w:rPr>
          <w:rFonts w:ascii="Consolas" w:hAnsi="Consolas"/>
          <w:i w:val="0"/>
          <w:color w:val="A31D1D"/>
          <w:sz w:val="19"/>
        </w:rPr>
        <w:t>answer</w:t>
      </w:r>
      <w:r>
        <w:rPr>
          <w:color w:val="222222"/>
          <w:sz w:val="21"/>
        </w:rPr>
        <w:t>.</w:t>
      </w:r>
    </w:p>
    <w:p>
      <w:pPr>
        <w:pStyle w:val="ListNumber"/>
        <w:spacing w:after="60"/>
        <w:ind w:left="397" w:hanging="227"/>
      </w:pPr>
      <w:r>
        <w:rPr>
          <w:rFonts w:ascii="Consolas" w:hAnsi="Consolas"/>
          <w:i w:val="0"/>
          <w:color w:val="A31D1D"/>
          <w:sz w:val="19"/>
        </w:rPr>
        <w:t>check_output(answer)</w:t>
      </w:r>
      <w:r>
        <w:rPr>
          <w:color w:val="222222"/>
          <w:sz w:val="21"/>
        </w:rPr>
        <w:t xml:space="preserve"> inspecte cette réponse. Le bloc </w:t>
      </w:r>
      <w:r>
        <w:rPr>
          <w:rFonts w:ascii="Consolas" w:hAnsi="Consolas"/>
          <w:i w:val="0"/>
          <w:color w:val="A31D1D"/>
          <w:sz w:val="19"/>
        </w:rPr>
        <w:t>opt</w:t>
      </w:r>
      <w:r>
        <w:rPr>
          <w:color w:val="222222"/>
          <w:sz w:val="21"/>
        </w:rPr>
        <w:t xml:space="preserve"> ne s'ouvre </w:t>
      </w:r>
      <w:r>
        <w:rPr>
          <w:b/>
          <w:color w:val="222222"/>
          <w:sz w:val="21"/>
        </w:rPr>
        <w:t>que si</w:t>
      </w:r>
      <w:r>
        <w:rPr>
          <w:color w:val="222222"/>
          <w:sz w:val="21"/>
        </w:rPr>
        <w:t xml:space="preserve"> elle est bloquée : dans ce cas </w:t>
      </w:r>
      <w:r>
        <w:rPr>
          <w:rFonts w:ascii="Consolas" w:hAnsi="Consolas"/>
          <w:i w:val="0"/>
          <w:color w:val="A31D1D"/>
          <w:sz w:val="19"/>
        </w:rPr>
        <w:t>answer = refusal</w:t>
      </w:r>
      <w:r>
        <w:rPr>
          <w:color w:val="222222"/>
          <w:sz w:val="21"/>
        </w:rPr>
        <w:t>, l'agent substitue le refus à la réponse produite.</w:t>
      </w:r>
    </w:p>
    <w:p>
      <w:pPr>
        <w:pStyle w:val="ListNumber"/>
        <w:spacing w:after="60"/>
        <w:ind w:left="397" w:hanging="227"/>
      </w:pPr>
      <w:r>
        <w:rPr>
          <w:rFonts w:ascii="Consolas" w:hAnsi="Consolas"/>
          <w:i w:val="0"/>
          <w:color w:val="A31D1D"/>
          <w:sz w:val="19"/>
        </w:rPr>
        <w:t>memory.write(...)</w:t>
      </w:r>
      <w:r>
        <w:rPr>
          <w:color w:val="222222"/>
          <w:sz w:val="21"/>
        </w:rPr>
        <w:t xml:space="preserve"> enregistre le tour : </w:t>
      </w:r>
      <w:r>
        <w:rPr>
          <w:rFonts w:ascii="Consolas" w:hAnsi="Consolas"/>
          <w:i w:val="0"/>
          <w:color w:val="A31D1D"/>
          <w:sz w:val="19"/>
        </w:rPr>
        <w:t>INSERT messages</w:t>
      </w:r>
      <w:r>
        <w:rPr>
          <w:color w:val="222222"/>
          <w:sz w:val="21"/>
        </w:rPr>
        <w:t xml:space="preserve"> </w:t>
      </w:r>
      <w:r>
        <w:rPr>
          <w:b/>
          <w:color w:val="222222"/>
          <w:sz w:val="21"/>
        </w:rPr>
        <w:t>et</w:t>
      </w:r>
      <w:r>
        <w:rPr>
          <w:color w:val="222222"/>
          <w:sz w:val="21"/>
        </w:rPr>
        <w:t xml:space="preserve"> </w:t>
      </w:r>
      <w:r>
        <w:rPr>
          <w:rFonts w:ascii="Consolas" w:hAnsi="Consolas"/>
          <w:i w:val="0"/>
          <w:color w:val="A31D1D"/>
          <w:sz w:val="19"/>
        </w:rPr>
        <w:t>upsert faits</w:t>
      </w:r>
      <w:r>
        <w:rPr>
          <w:color w:val="222222"/>
          <w:sz w:val="21"/>
        </w:rPr>
        <w:t>.</w:t>
      </w:r>
    </w:p>
    <w:p>
      <w:pPr>
        <w:pStyle w:val="ListNumber"/>
        <w:spacing w:after="60"/>
        <w:ind w:left="397" w:hanging="227"/>
      </w:pPr>
      <w:r>
        <w:rPr>
          <w:color w:val="222222"/>
          <w:sz w:val="21"/>
        </w:rPr>
        <w:t>L'</w:t>
      </w:r>
      <w:r>
        <w:rPr>
          <w:rFonts w:ascii="Consolas" w:hAnsi="Consolas"/>
          <w:i w:val="0"/>
          <w:color w:val="A31D1D"/>
          <w:sz w:val="19"/>
        </w:rPr>
        <w:t>answer</w:t>
      </w:r>
      <w:r>
        <w:rPr>
          <w:color w:val="222222"/>
          <w:sz w:val="21"/>
        </w:rPr>
        <w:t xml:space="preserve"> part au client.</w:t>
      </w:r>
    </w:p>
    <w:tbl>
      <w:tblPr>
        <w:tblW w:type="auto" w:w="0"/>
        <w:jc w:val="center"/>
        <w:tblLayout w:type="fixed"/>
        <w:tblLook w:firstColumn="1" w:firstRow="1" w:lastColumn="0" w:lastRow="0" w:noHBand="0" w:noVBand="1" w:val="04A0"/>
      </w:tblPr>
      <w:tblGrid>
        <w:gridCol w:w="9298"/>
      </w:tblGrid>
      <w:tr>
        <w:tc>
          <w:tcPr>
            <w:tcW w:type="dxa" w:w="9298"/>
            <w:tcBorders>
              <w:top w:val="single" w:sz="4" w:color="F2F5F9"/>
              <w:left w:val="single" w:sz="18" w:color="2E5C8A"/>
              <w:bottom w:val="single" w:sz="4" w:color="F2F5F9"/>
              <w:right w:val="single" w:sz="4" w:color="F2F5F9"/>
            </w:tcBorders>
            <w:shd w:val="clear" w:color="auto" w:fill="F2F5F9"/>
          </w:tcPr>
          <w:p>
            <w:pPr>
              <w:spacing w:before="80" w:after="40"/>
            </w:pPr>
            <w:r>
              <w:rPr>
                <w:rFonts w:ascii="Calibri" w:hAnsi="Calibri"/>
                <w:b/>
                <w:color w:val="2E5C8A"/>
                <w:sz w:val="17"/>
              </w:rPr>
              <w:t>CE QUE LE BLOC `OPT` DIT DE L'ARCHITECTURE</w:t>
            </w:r>
          </w:p>
          <w:p>
            <w:pPr>
              <w:spacing w:after="100"/>
            </w:pPr>
            <w:r>
              <w:rPr>
                <w:color w:val="222222"/>
                <w:sz w:val="20"/>
              </w:rPr>
              <w:t xml:space="preserve">La substitution </w:t>
            </w:r>
            <w:r>
              <w:rPr>
                <w:rFonts w:ascii="Consolas" w:hAnsi="Consolas"/>
                <w:i w:val="0"/>
                <w:color w:val="A31D1D"/>
                <w:sz w:val="18"/>
              </w:rPr>
              <w:t>answer = refusal</w:t>
            </w:r>
            <w:r>
              <w:rPr>
                <w:color w:val="222222"/>
                <w:sz w:val="20"/>
              </w:rPr>
              <w:t xml:space="preserve"> est une flèche que l'</w:t>
            </w:r>
            <w:r>
              <w:rPr>
                <w:rFonts w:ascii="Consolas" w:hAnsi="Consolas"/>
                <w:i w:val="0"/>
                <w:color w:val="A31D1D"/>
                <w:sz w:val="18"/>
              </w:rPr>
              <w:t>Agent</w:t>
            </w:r>
            <w:r>
              <w:rPr>
                <w:color w:val="222222"/>
                <w:sz w:val="20"/>
              </w:rPr>
              <w:t xml:space="preserve"> s'envoie </w:t>
            </w:r>
            <w:r>
              <w:rPr>
                <w:b/>
                <w:color w:val="222222"/>
                <w:sz w:val="20"/>
              </w:rPr>
              <w:t>à lui-même</w:t>
            </w:r>
            <w:r>
              <w:rPr>
                <w:color w:val="222222"/>
                <w:sz w:val="20"/>
              </w:rPr>
              <w:t xml:space="preserve">. La réponse dangereuse n'est pas corrigée, ni renégociée avec le LLM : elle est </w:t>
            </w:r>
            <w:r>
              <w:rPr>
                <w:b/>
                <w:color w:val="222222"/>
                <w:sz w:val="20"/>
              </w:rPr>
              <w:t>remplacée</w:t>
            </w:r>
            <w:r>
              <w:rPr>
                <w:color w:val="222222"/>
                <w:sz w:val="20"/>
              </w:rPr>
              <w:t>. Il n'y a pas de seconde chance accordée au modèle — c'est du code qui tranche, sans dialogue.</w:t>
            </w:r>
          </w:p>
        </w:tc>
      </w:tr>
    </w:tbl>
    <w:p>
      <w:pPr>
        <w:spacing w:after="40"/>
      </w:pPr>
    </w:p>
    <w:p>
      <w:pPr>
        <w:pStyle w:val="Heading2"/>
      </w:pPr>
      <w:r>
        <w:t>Ce que le schéma décide</w:t>
      </w:r>
    </w:p>
    <w:p>
      <w:pPr>
        <w:pStyle w:val="ListBullet"/>
        <w:spacing w:after="60"/>
        <w:ind w:left="340" w:hanging="198"/>
      </w:pPr>
      <w:r>
        <w:rPr>
          <w:b/>
          <w:color w:val="222222"/>
          <w:sz w:val="21"/>
        </w:rPr>
        <w:t>L'écriture mémoire est sur les deux branches.</w:t>
      </w:r>
      <w:r>
        <w:rPr>
          <w:color w:val="222222"/>
          <w:sz w:val="21"/>
        </w:rPr>
        <w:t xml:space="preserve"> Bloqué ou autorisé, le tour est écrit. Aucun trou dans l'historique, et les blocages restent mesurables (taux de faux positifs, chantier MLOps).</w:t>
      </w:r>
    </w:p>
    <w:p>
      <w:pPr>
        <w:pStyle w:val="ListBullet"/>
        <w:spacing w:after="60"/>
        <w:ind w:left="340" w:hanging="198"/>
      </w:pPr>
      <w:r>
        <w:rPr>
          <w:b/>
          <w:color w:val="222222"/>
          <w:sz w:val="21"/>
        </w:rPr>
        <w:t>`upsert` et non `insert` pour les faits.</w:t>
      </w:r>
      <w:r>
        <w:rPr>
          <w:color w:val="222222"/>
          <w:sz w:val="21"/>
        </w:rPr>
        <w:t xml:space="preserve"> Avant d'insérer, on vérifie qu'un fait </w:t>
      </w:r>
      <w:r>
        <w:rPr>
          <w:rFonts w:ascii="Consolas" w:hAnsi="Consolas"/>
          <w:i w:val="0"/>
          <w:color w:val="A31D1D"/>
          <w:sz w:val="19"/>
        </w:rPr>
        <w:t>(user_id, type, value)</w:t>
      </w:r>
      <w:r>
        <w:rPr>
          <w:color w:val="222222"/>
          <w:sz w:val="21"/>
        </w:rPr>
        <w:t xml:space="preserve"> identique n'existe pas déjà — sinon on met simplement à jour </w:t>
      </w:r>
      <w:r>
        <w:rPr>
          <w:rFonts w:ascii="Consolas" w:hAnsi="Consolas"/>
          <w:i w:val="0"/>
          <w:color w:val="A31D1D"/>
          <w:sz w:val="19"/>
        </w:rPr>
        <w:t>updated_at</w:t>
      </w:r>
      <w:r>
        <w:rPr>
          <w:color w:val="222222"/>
          <w:sz w:val="21"/>
        </w:rPr>
        <w:t>. Un client qui se répète ne crée pas de doublon.</w:t>
      </w:r>
    </w:p>
    <w:p>
      <w:pPr>
        <w:pStyle w:val="ListBullet"/>
        <w:spacing w:after="60"/>
        <w:ind w:left="340" w:hanging="198"/>
      </w:pPr>
      <w:r>
        <w:rPr>
          <w:b/>
          <w:color w:val="222222"/>
          <w:sz w:val="21"/>
        </w:rPr>
        <w:t>L'écriture a lieu à chaque tour</w:t>
      </w:r>
      <w:r>
        <w:rPr>
          <w:color w:val="222222"/>
          <w:sz w:val="21"/>
        </w:rPr>
        <w:t>, pas en fin de session : si la conversation se coupe, rien de durable n'est perdu (</w:t>
      </w:r>
      <w:r>
        <w:rPr>
          <w:b/>
          <w:color w:val="222222"/>
          <w:sz w:val="21"/>
        </w:rPr>
        <w:t>R2</w:t>
      </w:r>
      <w:r>
        <w:rPr>
          <w:color w:val="222222"/>
          <w:sz w:val="21"/>
        </w:rPr>
        <w:t>). En chat, « la fin de session » est de toute façon une notion floue.</w:t>
      </w:r>
    </w:p>
    <w:p>
      <w:pPr>
        <w:pStyle w:val="ListBullet"/>
        <w:spacing w:after="60"/>
        <w:ind w:left="340" w:hanging="198"/>
      </w:pPr>
      <w:r>
        <w:rPr>
          <w:b/>
          <w:color w:val="222222"/>
          <w:sz w:val="21"/>
        </w:rPr>
        <w:t>Toutes les flèches vers `DB` partent du `MemoryManager`</w:t>
      </w:r>
      <w:r>
        <w:rPr>
          <w:color w:val="222222"/>
          <w:sz w:val="21"/>
        </w:rPr>
        <w:t>, jamais de l'</w:t>
      </w:r>
      <w:r>
        <w:rPr>
          <w:rFonts w:ascii="Consolas" w:hAnsi="Consolas"/>
          <w:i w:val="0"/>
          <w:color w:val="A31D1D"/>
          <w:sz w:val="19"/>
        </w:rPr>
        <w:t>Agent</w:t>
      </w:r>
      <w:r>
        <w:rPr>
          <w:color w:val="222222"/>
          <w:sz w:val="21"/>
        </w:rPr>
        <w:t xml:space="preserve">. L'accès aux données est centralisé en un seul point — c'est ce qui rend le filtre </w:t>
      </w:r>
      <w:r>
        <w:rPr>
          <w:rFonts w:ascii="Consolas" w:hAnsi="Consolas"/>
          <w:i w:val="0"/>
          <w:color w:val="A31D1D"/>
          <w:sz w:val="19"/>
        </w:rPr>
        <w:t>user_id</w:t>
      </w:r>
      <w:r>
        <w:rPr>
          <w:color w:val="222222"/>
          <w:sz w:val="21"/>
        </w:rPr>
        <w:t xml:space="preserve"> (</w:t>
      </w:r>
      <w:r>
        <w:rPr>
          <w:b/>
          <w:color w:val="222222"/>
          <w:sz w:val="21"/>
        </w:rPr>
        <w:t>R3</w:t>
      </w:r>
      <w:r>
        <w:rPr>
          <w:color w:val="222222"/>
          <w:sz w:val="21"/>
        </w:rPr>
        <w:t>) systématique et vérifiable, plutôt que dispersé dans le code appelant.</w:t>
      </w:r>
    </w:p>
    <w:p>
      <w:pPr>
        <w:pStyle w:val="Heading2"/>
      </w:pPr>
      <w:r>
        <w:t>Limites et écarts</w:t>
      </w:r>
    </w:p>
    <w:p>
      <w:pPr>
        <w:pStyle w:val="ListBullet"/>
        <w:spacing w:after="60"/>
        <w:ind w:left="340" w:hanging="198"/>
      </w:pPr>
      <w:r>
        <w:rPr>
          <w:color w:val="222222"/>
          <w:sz w:val="21"/>
        </w:rPr>
        <w:t xml:space="preserve">⚠️ La flèche </w:t>
      </w:r>
      <w:r>
        <w:rPr>
          <w:rFonts w:ascii="Consolas" w:hAnsi="Consolas"/>
          <w:i w:val="0"/>
          <w:color w:val="A31D1D"/>
          <w:sz w:val="19"/>
        </w:rPr>
        <w:t>M--&gt;&gt;A: MemoryContext</w:t>
      </w:r>
      <w:r>
        <w:rPr>
          <w:color w:val="222222"/>
          <w:sz w:val="21"/>
        </w:rPr>
        <w:t xml:space="preserve"> est fidèle au code, mais ce contexte </w:t>
      </w:r>
      <w:r>
        <w:rPr>
          <w:b/>
          <w:color w:val="222222"/>
          <w:sz w:val="21"/>
        </w:rPr>
        <w:t>n'est pas encore transmis au LLM</w:t>
      </w:r>
      <w:r>
        <w:rPr>
          <w:color w:val="222222"/>
          <w:sz w:val="21"/>
        </w:rPr>
        <w:t xml:space="preserve"> dans </w:t>
      </w:r>
      <w:r>
        <w:rPr>
          <w:rFonts w:ascii="Consolas" w:hAnsi="Consolas"/>
          <w:i w:val="0"/>
          <w:color w:val="A31D1D"/>
          <w:sz w:val="19"/>
        </w:rPr>
        <w:t>_handle()</w:t>
      </w:r>
      <w:r>
        <w:rPr>
          <w:color w:val="222222"/>
          <w:sz w:val="21"/>
        </w:rPr>
        <w:t xml:space="preserve"> — c'est l'écart déjà signalé au §1. Le schéma montre l'appel réel ; l'usage du retour reste à brancher.</w:t>
      </w:r>
    </w:p>
    <w:p>
      <w:pPr>
        <w:pStyle w:val="ListBullet"/>
        <w:spacing w:after="60"/>
        <w:ind w:left="340" w:hanging="198"/>
      </w:pPr>
      <w:r>
        <w:rPr>
          <w:color w:val="222222"/>
          <w:sz w:val="21"/>
        </w:rPr>
        <w:t xml:space="preserve">Le participant </w:t>
      </w:r>
      <w:r>
        <w:rPr>
          <w:rFonts w:ascii="Consolas" w:hAnsi="Consolas"/>
          <w:i w:val="0"/>
          <w:color w:val="A31D1D"/>
          <w:sz w:val="19"/>
        </w:rPr>
        <w:t>tools / LLM</w:t>
      </w:r>
      <w:r>
        <w:rPr>
          <w:color w:val="222222"/>
          <w:sz w:val="21"/>
        </w:rPr>
        <w:t xml:space="preserve"> est volontairement agrégé en une seule colonne : le détail du routage entre outils de lecture, d'action et d'escalade relève d'un autre niveau de zoom.</w:t>
      </w:r>
    </w:p>
    <w:p>
      <w:r>
        <w:br w:type="page"/>
      </w:r>
    </w:p>
    <w:p>
      <w:pPr>
        <w:pStyle w:val="Heading1"/>
      </w:pPr>
      <w:r>
        <w:t xml:space="preserve">5. Garde-fou d'entrée — </w:t>
      </w:r>
      <w:r>
        <w:rPr>
          <w:rFonts w:ascii="Consolas" w:hAnsi="Consolas"/>
        </w:rPr>
        <w:t>check_input</w:t>
      </w:r>
    </w:p>
    <w:p>
      <w:pPr>
        <w:spacing w:after="200"/>
      </w:pPr>
      <w:r>
        <w:rPr>
          <w:i/>
          <w:color w:val="334455"/>
          <w:sz w:val="22"/>
        </w:rPr>
        <w:t>Question posée : que teste-t-on exactement sur un message entrant, dans quel ordre, et pourquoi cet ordre ?</w:t>
      </w:r>
    </w:p>
    <w:p>
      <w:pPr>
        <w:keepNext/>
        <w:spacing w:before="120" w:after="60"/>
        <w:jc w:val="center"/>
      </w:pPr>
      <w:r>
        <w:drawing>
          <wp:inline xmlns:a="http://schemas.openxmlformats.org/drawingml/2006/main" xmlns:pic="http://schemas.openxmlformats.org/drawingml/2006/picture">
            <wp:extent cx="2877192" cy="7379997"/>
            <wp:docPr id="5" name="Picture 5"/>
            <wp:cNvGraphicFramePr>
              <a:graphicFrameLocks noChangeAspect="1"/>
            </wp:cNvGraphicFramePr>
            <a:graphic>
              <a:graphicData uri="http://schemas.openxmlformats.org/drawingml/2006/picture">
                <pic:pic>
                  <pic:nvPicPr>
                    <pic:cNvPr id="0" name="garde-fou-d-entree-check-input.png"/>
                    <pic:cNvPicPr/>
                  </pic:nvPicPr>
                  <pic:blipFill>
                    <a:blip r:embed="rId14"/>
                    <a:stretch>
                      <a:fillRect/>
                    </a:stretch>
                  </pic:blipFill>
                  <pic:spPr>
                    <a:xfrm>
                      <a:off x="0" y="0"/>
                      <a:ext cx="2877192" cy="7379997"/>
                    </a:xfrm>
                    <a:prstGeom prst="rect"/>
                  </pic:spPr>
                </pic:pic>
              </a:graphicData>
            </a:graphic>
          </wp:inline>
        </w:drawing>
      </w:r>
    </w:p>
    <w:p>
      <w:pPr>
        <w:spacing w:after="240"/>
        <w:jc w:val="center"/>
      </w:pPr>
      <w:r>
        <w:rPr>
          <w:i/>
          <w:color w:val="595959"/>
          <w:sz w:val="18"/>
        </w:rPr>
        <w:t>Figure 5 — L'intérieur du garde-fou d'entrée : quatre détecteurs déterministes en cascade, puis le LLM-juge optionnel.</w:t>
      </w:r>
    </w:p>
    <w:p>
      <w:pPr>
        <w:pStyle w:val="Heading2"/>
      </w:pPr>
      <w:r>
        <w:t>Ce que montre le schéma</w:t>
      </w:r>
    </w:p>
    <w:p>
      <w:r>
        <w:rPr>
          <w:color w:val="222222"/>
          <w:sz w:val="21"/>
        </w:rPr>
        <w:t xml:space="preserve">Ce schéma ouvre le premier hexagone du §1. C'est une </w:t>
      </w:r>
      <w:r>
        <w:rPr>
          <w:b/>
          <w:color w:val="222222"/>
          <w:sz w:val="21"/>
        </w:rPr>
        <w:t>cascade</w:t>
      </w:r>
      <w:r>
        <w:rPr>
          <w:color w:val="222222"/>
          <w:sz w:val="21"/>
        </w:rPr>
        <w:t xml:space="preserve"> : chaque losange est un détecteur ; un </w:t>
      </w:r>
      <w:r>
        <w:rPr>
          <w:rFonts w:ascii="Consolas" w:hAnsi="Consolas"/>
          <w:i w:val="0"/>
          <w:color w:val="A31D1D"/>
          <w:sz w:val="19"/>
        </w:rPr>
        <w:t>match</w:t>
      </w:r>
      <w:r>
        <w:rPr>
          <w:color w:val="222222"/>
          <w:sz w:val="21"/>
        </w:rPr>
        <w:t xml:space="preserve"> sort immédiatement vers le blocage, un </w:t>
      </w:r>
      <w:r>
        <w:rPr>
          <w:rFonts w:ascii="Consolas" w:hAnsi="Consolas"/>
          <w:i w:val="0"/>
          <w:color w:val="A31D1D"/>
          <w:sz w:val="19"/>
        </w:rPr>
        <w:t>rien</w:t>
      </w:r>
      <w:r>
        <w:rPr>
          <w:color w:val="222222"/>
          <w:sz w:val="21"/>
        </w:rPr>
        <w:t xml:space="preserve"> passe au détecteur suivant. Tous les chemins de blocage convergent vers une seule boîte </w:t>
      </w:r>
      <w:r>
        <w:rPr>
          <w:rFonts w:ascii="Consolas" w:hAnsi="Consolas"/>
          <w:i w:val="0"/>
          <w:color w:val="A31D1D"/>
          <w:sz w:val="19"/>
        </w:rPr>
        <w:t>Decision(block)</w:t>
      </w:r>
      <w:r>
        <w:rPr>
          <w:color w:val="222222"/>
          <w:sz w:val="21"/>
        </w:rPr>
        <w:t xml:space="preserve"> — il n'y a </w:t>
      </w:r>
      <w:r>
        <w:rPr>
          <w:b/>
          <w:color w:val="222222"/>
          <w:sz w:val="21"/>
        </w:rPr>
        <w:t>qu'une seule porte de sortie négative</w:t>
      </w:r>
      <w:r>
        <w:rPr>
          <w:color w:val="222222"/>
          <w:sz w:val="21"/>
        </w:rPr>
        <w:t>, donc un seul endroit où le refus est formulé et où le blocage est journalisé.</w:t>
      </w:r>
    </w:p>
    <w:p>
      <w:pPr>
        <w:pStyle w:val="Heading2"/>
      </w:pPr>
      <w:r>
        <w:t>Lecture guidée</w:t>
      </w:r>
    </w:p>
    <w:tbl>
      <w:tblPr>
        <w:tblW w:type="auto" w:w="0"/>
        <w:jc w:val="center"/>
        <w:tblLayout w:type="fixed"/>
        <w:tblLook w:firstColumn="1" w:firstRow="1" w:lastColumn="0" w:lastRow="0" w:noHBand="0" w:noVBand="1" w:val="04A0"/>
      </w:tblPr>
      <w:tblGrid>
        <w:gridCol w:w="2324"/>
        <w:gridCol w:w="2324"/>
        <w:gridCol w:w="2324"/>
        <w:gridCol w:w="2324"/>
      </w:tblGrid>
      <w:tr>
        <w:tc>
          <w:tcPr>
            <w:tcW w:type="dxa" w:w="794"/>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Ordre</w:t>
            </w:r>
          </w:p>
        </w:tc>
        <w:tc>
          <w:tcPr>
            <w:tcW w:type="dxa" w:w="1928"/>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Détecteur</w:t>
            </w:r>
          </w:p>
        </w:tc>
        <w:tc>
          <w:tcPr>
            <w:tcW w:type="dxa" w:w="4195"/>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Ce qu'il cherche</w:t>
            </w:r>
          </w:p>
        </w:tc>
        <w:tc>
          <w:tcPr>
            <w:tcW w:type="dxa" w:w="2381"/>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Méthode</w:t>
            </w:r>
          </w:p>
        </w:tc>
      </w:tr>
      <w:tr>
        <w:tc>
          <w:tcPr>
            <w:tcW w:type="dxa" w:w="794"/>
            <w:tcBorders>
              <w:top w:val="single" w:sz="6" w:color="D9D9D9"/>
              <w:left w:val="single" w:sz="6" w:color="D9D9D9"/>
              <w:bottom w:val="single" w:sz="6" w:color="D9D9D9"/>
              <w:right w:val="single" w:sz="6" w:color="D9D9D9"/>
            </w:tcBorders>
          </w:tcPr>
          <w:p>
            <w:pPr>
              <w:spacing w:before="40" w:after="40"/>
            </w:pPr>
            <w:r>
              <w:rPr>
                <w:color w:val="222222"/>
                <w:sz w:val="19"/>
              </w:rPr>
              <w:t>1</w:t>
            </w:r>
          </w:p>
        </w:tc>
        <w:tc>
          <w:tcPr>
            <w:tcW w:type="dxa" w:w="1928"/>
            <w:tcBorders>
              <w:top w:val="single" w:sz="6" w:color="D9D9D9"/>
              <w:left w:val="single" w:sz="6" w:color="D9D9D9"/>
              <w:bottom w:val="single" w:sz="6" w:color="D9D9D9"/>
              <w:right w:val="single" w:sz="6" w:color="D9D9D9"/>
            </w:tcBorders>
          </w:tcPr>
          <w:p>
            <w:pPr>
              <w:spacing w:before="40" w:after="40"/>
            </w:pPr>
            <w:r>
              <w:rPr>
                <w:rFonts w:ascii="Consolas" w:hAnsi="Consolas"/>
                <w:i w:val="0"/>
                <w:color w:val="A31D1D"/>
                <w:sz w:val="17"/>
              </w:rPr>
              <w:t>secret_leak</w:t>
            </w:r>
          </w:p>
        </w:tc>
        <w:tc>
          <w:tcPr>
            <w:tcW w:type="dxa" w:w="4195"/>
            <w:tcBorders>
              <w:top w:val="single" w:sz="6" w:color="D9D9D9"/>
              <w:left w:val="single" w:sz="6" w:color="D9D9D9"/>
              <w:bottom w:val="single" w:sz="6" w:color="D9D9D9"/>
              <w:right w:val="single" w:sz="6" w:color="D9D9D9"/>
            </w:tcBorders>
          </w:tcPr>
          <w:p>
            <w:pPr>
              <w:spacing w:before="40" w:after="40"/>
            </w:pPr>
            <w:r>
              <w:rPr>
                <w:color w:val="222222"/>
                <w:sz w:val="19"/>
              </w:rPr>
              <w:t>Clé API, mot de passe, variables d'environnement, token.</w:t>
            </w:r>
          </w:p>
        </w:tc>
        <w:tc>
          <w:tcPr>
            <w:tcW w:type="dxa" w:w="2381"/>
            <w:tcBorders>
              <w:top w:val="single" w:sz="6" w:color="D9D9D9"/>
              <w:left w:val="single" w:sz="6" w:color="D9D9D9"/>
              <w:bottom w:val="single" w:sz="6" w:color="D9D9D9"/>
              <w:right w:val="single" w:sz="6" w:color="D9D9D9"/>
            </w:tcBorders>
          </w:tcPr>
          <w:p>
            <w:pPr>
              <w:spacing w:before="40" w:after="40"/>
            </w:pPr>
            <w:r>
              <w:rPr>
                <w:color w:val="222222"/>
                <w:sz w:val="19"/>
              </w:rPr>
              <w:t>Regex / mots-clés</w:t>
            </w:r>
          </w:p>
        </w:tc>
      </w:tr>
      <w:tr>
        <w:tc>
          <w:tcPr>
            <w:tcW w:type="dxa" w:w="794"/>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2</w:t>
            </w:r>
          </w:p>
        </w:tc>
        <w:tc>
          <w:tcPr>
            <w:tcW w:type="dxa" w:w="1928"/>
            <w:tcBorders>
              <w:top w:val="single" w:sz="6" w:color="D9D9D9"/>
              <w:left w:val="single" w:sz="6" w:color="D9D9D9"/>
              <w:bottom w:val="single" w:sz="6" w:color="D9D9D9"/>
              <w:right w:val="single" w:sz="6" w:color="D9D9D9"/>
            </w:tcBorders>
            <w:shd w:val="clear" w:color="auto" w:fill="F6F8FB"/>
          </w:tcPr>
          <w:p>
            <w:pPr>
              <w:spacing w:before="40" w:after="40"/>
            </w:pPr>
            <w:r>
              <w:rPr>
                <w:rFonts w:ascii="Consolas" w:hAnsi="Consolas"/>
                <w:i w:val="0"/>
                <w:color w:val="A31D1D"/>
                <w:sz w:val="17"/>
              </w:rPr>
              <w:t>prompt_injection</w:t>
            </w:r>
          </w:p>
        </w:tc>
        <w:tc>
          <w:tcPr>
            <w:tcW w:type="dxa" w:w="4195"/>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 ignore tes instructions », « developer mode », demande du prompt système.</w:t>
            </w:r>
          </w:p>
        </w:tc>
        <w:tc>
          <w:tcPr>
            <w:tcW w:type="dxa" w:w="2381"/>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Mots-clés</w:t>
            </w:r>
          </w:p>
        </w:tc>
      </w:tr>
      <w:tr>
        <w:tc>
          <w:tcPr>
            <w:tcW w:type="dxa" w:w="794"/>
            <w:tcBorders>
              <w:top w:val="single" w:sz="6" w:color="D9D9D9"/>
              <w:left w:val="single" w:sz="6" w:color="D9D9D9"/>
              <w:bottom w:val="single" w:sz="6" w:color="D9D9D9"/>
              <w:right w:val="single" w:sz="6" w:color="D9D9D9"/>
            </w:tcBorders>
          </w:tcPr>
          <w:p>
            <w:pPr>
              <w:spacing w:before="40" w:after="40"/>
            </w:pPr>
            <w:r>
              <w:rPr>
                <w:color w:val="222222"/>
                <w:sz w:val="19"/>
              </w:rPr>
              <w:t>3</w:t>
            </w:r>
          </w:p>
        </w:tc>
        <w:tc>
          <w:tcPr>
            <w:tcW w:type="dxa" w:w="1928"/>
            <w:tcBorders>
              <w:top w:val="single" w:sz="6" w:color="D9D9D9"/>
              <w:left w:val="single" w:sz="6" w:color="D9D9D9"/>
              <w:bottom w:val="single" w:sz="6" w:color="D9D9D9"/>
              <w:right w:val="single" w:sz="6" w:color="D9D9D9"/>
            </w:tcBorders>
          </w:tcPr>
          <w:p>
            <w:pPr>
              <w:spacing w:before="40" w:after="40"/>
            </w:pPr>
            <w:r>
              <w:rPr>
                <w:color w:val="222222"/>
                <w:sz w:val="19"/>
              </w:rPr>
              <w:t xml:space="preserve">Toxicité </w:t>
            </w:r>
            <w:r>
              <w:rPr>
                <w:b/>
                <w:color w:val="222222"/>
                <w:sz w:val="19"/>
              </w:rPr>
              <w:t>évidente</w:t>
            </w:r>
          </w:p>
        </w:tc>
        <w:tc>
          <w:tcPr>
            <w:tcW w:type="dxa" w:w="4195"/>
            <w:tcBorders>
              <w:top w:val="single" w:sz="6" w:color="D9D9D9"/>
              <w:left w:val="single" w:sz="6" w:color="D9D9D9"/>
              <w:bottom w:val="single" w:sz="6" w:color="D9D9D9"/>
              <w:right w:val="single" w:sz="6" w:color="D9D9D9"/>
            </w:tcBorders>
          </w:tcPr>
          <w:p>
            <w:pPr>
              <w:spacing w:before="40" w:after="40"/>
            </w:pPr>
            <w:r>
              <w:rPr>
                <w:color w:val="222222"/>
                <w:sz w:val="19"/>
              </w:rPr>
              <w:t xml:space="preserve">Mots-clés </w:t>
            </w:r>
            <w:r>
              <w:rPr>
                <w:rFonts w:ascii="Consolas" w:hAnsi="Consolas"/>
                <w:i w:val="0"/>
                <w:color w:val="A31D1D"/>
                <w:sz w:val="17"/>
              </w:rPr>
              <w:t>hate</w:t>
            </w:r>
            <w:r>
              <w:rPr>
                <w:color w:val="222222"/>
                <w:sz w:val="19"/>
              </w:rPr>
              <w:t xml:space="preserve">, </w:t>
            </w:r>
            <w:r>
              <w:rPr>
                <w:rFonts w:ascii="Consolas" w:hAnsi="Consolas"/>
                <w:i w:val="0"/>
                <w:color w:val="A31D1D"/>
                <w:sz w:val="17"/>
              </w:rPr>
              <w:t>violence</w:t>
            </w:r>
            <w:r>
              <w:rPr>
                <w:color w:val="222222"/>
                <w:sz w:val="19"/>
              </w:rPr>
              <w:t xml:space="preserve">, </w:t>
            </w:r>
            <w:r>
              <w:rPr>
                <w:rFonts w:ascii="Consolas" w:hAnsi="Consolas"/>
                <w:i w:val="0"/>
                <w:color w:val="A31D1D"/>
                <w:sz w:val="17"/>
              </w:rPr>
              <w:t>sexual</w:t>
            </w:r>
            <w:r>
              <w:rPr>
                <w:color w:val="222222"/>
                <w:sz w:val="19"/>
              </w:rPr>
              <w:t>.</w:t>
            </w:r>
          </w:p>
        </w:tc>
        <w:tc>
          <w:tcPr>
            <w:tcW w:type="dxa" w:w="2381"/>
            <w:tcBorders>
              <w:top w:val="single" w:sz="6" w:color="D9D9D9"/>
              <w:left w:val="single" w:sz="6" w:color="D9D9D9"/>
              <w:bottom w:val="single" w:sz="6" w:color="D9D9D9"/>
              <w:right w:val="single" w:sz="6" w:color="D9D9D9"/>
            </w:tcBorders>
          </w:tcPr>
          <w:p>
            <w:pPr>
              <w:spacing w:before="40" w:after="40"/>
            </w:pPr>
            <w:r>
              <w:rPr>
                <w:color w:val="222222"/>
                <w:sz w:val="19"/>
              </w:rPr>
              <w:t>Mots-clés</w:t>
            </w:r>
          </w:p>
        </w:tc>
      </w:tr>
      <w:tr>
        <w:tc>
          <w:tcPr>
            <w:tcW w:type="dxa" w:w="794"/>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4</w:t>
            </w:r>
          </w:p>
        </w:tc>
        <w:tc>
          <w:tcPr>
            <w:tcW w:type="dxa" w:w="1928"/>
            <w:tcBorders>
              <w:top w:val="single" w:sz="6" w:color="D9D9D9"/>
              <w:left w:val="single" w:sz="6" w:color="D9D9D9"/>
              <w:bottom w:val="single" w:sz="6" w:color="D9D9D9"/>
              <w:right w:val="single" w:sz="6" w:color="D9D9D9"/>
            </w:tcBorders>
            <w:shd w:val="clear" w:color="auto" w:fill="F6F8FB"/>
          </w:tcPr>
          <w:p>
            <w:pPr>
              <w:spacing w:before="40" w:after="40"/>
            </w:pPr>
            <w:r>
              <w:rPr>
                <w:rFonts w:ascii="Consolas" w:hAnsi="Consolas"/>
                <w:i w:val="0"/>
                <w:color w:val="A31D1D"/>
                <w:sz w:val="17"/>
              </w:rPr>
              <w:t>out_of_scope</w:t>
            </w:r>
          </w:p>
        </w:tc>
        <w:tc>
          <w:tcPr>
            <w:tcW w:type="dxa" w:w="4195"/>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 vaut », « cote », « revente », « juridique », « authentifi ».</w:t>
            </w:r>
          </w:p>
        </w:tc>
        <w:tc>
          <w:tcPr>
            <w:tcW w:type="dxa" w:w="2381"/>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Mots-clés / périmètre</w:t>
            </w:r>
          </w:p>
        </w:tc>
      </w:tr>
      <w:tr>
        <w:tc>
          <w:tcPr>
            <w:tcW w:type="dxa" w:w="794"/>
            <w:tcBorders>
              <w:top w:val="single" w:sz="6" w:color="D9D9D9"/>
              <w:left w:val="single" w:sz="6" w:color="D9D9D9"/>
              <w:bottom w:val="single" w:sz="6" w:color="D9D9D9"/>
              <w:right w:val="single" w:sz="6" w:color="D9D9D9"/>
            </w:tcBorders>
          </w:tcPr>
          <w:p>
            <w:pPr>
              <w:spacing w:before="40" w:after="40"/>
            </w:pPr>
            <w:r>
              <w:rPr>
                <w:color w:val="222222"/>
                <w:sz w:val="19"/>
              </w:rPr>
              <w:t>5</w:t>
            </w:r>
          </w:p>
        </w:tc>
        <w:tc>
          <w:tcPr>
            <w:tcW w:type="dxa" w:w="1928"/>
            <w:tcBorders>
              <w:top w:val="single" w:sz="6" w:color="D9D9D9"/>
              <w:left w:val="single" w:sz="6" w:color="D9D9D9"/>
              <w:bottom w:val="single" w:sz="6" w:color="D9D9D9"/>
              <w:right w:val="single" w:sz="6" w:color="D9D9D9"/>
            </w:tcBorders>
          </w:tcPr>
          <w:p>
            <w:pPr>
              <w:spacing w:before="40" w:after="40"/>
            </w:pPr>
            <w:r>
              <w:rPr>
                <w:b/>
                <w:color w:val="222222"/>
                <w:sz w:val="19"/>
              </w:rPr>
              <w:t>LLM-juge</w:t>
            </w:r>
          </w:p>
        </w:tc>
        <w:tc>
          <w:tcPr>
            <w:tcW w:type="dxa" w:w="4195"/>
            <w:tcBorders>
              <w:top w:val="single" w:sz="6" w:color="D9D9D9"/>
              <w:left w:val="single" w:sz="6" w:color="D9D9D9"/>
              <w:bottom w:val="single" w:sz="6" w:color="D9D9D9"/>
              <w:right w:val="single" w:sz="6" w:color="D9D9D9"/>
            </w:tcBorders>
          </w:tcPr>
          <w:p>
            <w:pPr>
              <w:spacing w:before="40" w:after="40"/>
            </w:pPr>
            <w:r>
              <w:rPr>
                <w:color w:val="222222"/>
                <w:sz w:val="19"/>
              </w:rPr>
              <w:t xml:space="preserve">Toxicité </w:t>
            </w:r>
            <w:r>
              <w:rPr>
                <w:b/>
                <w:color w:val="222222"/>
                <w:sz w:val="19"/>
              </w:rPr>
              <w:t>paraphrasée</w:t>
            </w:r>
            <w:r>
              <w:rPr>
                <w:color w:val="222222"/>
                <w:sz w:val="19"/>
              </w:rPr>
              <w:t xml:space="preserve">, hors-périmètre </w:t>
            </w:r>
            <w:r>
              <w:rPr>
                <w:b/>
                <w:color w:val="222222"/>
                <w:sz w:val="19"/>
              </w:rPr>
              <w:t>inédit</w:t>
            </w:r>
            <w:r>
              <w:rPr>
                <w:color w:val="222222"/>
                <w:sz w:val="19"/>
              </w:rPr>
              <w:t>.</w:t>
            </w:r>
          </w:p>
        </w:tc>
        <w:tc>
          <w:tcPr>
            <w:tcW w:type="dxa" w:w="2381"/>
            <w:tcBorders>
              <w:top w:val="single" w:sz="6" w:color="D9D9D9"/>
              <w:left w:val="single" w:sz="6" w:color="D9D9D9"/>
              <w:bottom w:val="single" w:sz="6" w:color="D9D9D9"/>
              <w:right w:val="single" w:sz="6" w:color="D9D9D9"/>
            </w:tcBorders>
          </w:tcPr>
          <w:p>
            <w:pPr>
              <w:spacing w:before="40" w:after="40"/>
            </w:pPr>
            <w:r>
              <w:rPr>
                <w:color w:val="222222"/>
                <w:sz w:val="19"/>
              </w:rPr>
              <w:t xml:space="preserve">Modération LLM — </w:t>
            </w:r>
            <w:r>
              <w:rPr>
                <w:i/>
                <w:color w:val="222222"/>
                <w:sz w:val="19"/>
              </w:rPr>
              <w:t>optionnelle</w:t>
            </w:r>
          </w:p>
        </w:tc>
      </w:tr>
    </w:tbl>
    <w:p>
      <w:pPr>
        <w:spacing w:after="40"/>
      </w:pPr>
    </w:p>
    <w:p>
      <w:r>
        <w:rPr>
          <w:color w:val="222222"/>
          <w:sz w:val="21"/>
        </w:rPr>
        <w:t xml:space="preserve">Le losange </w:t>
      </w:r>
      <w:r>
        <w:rPr>
          <w:b/>
          <w:color w:val="222222"/>
          <w:sz w:val="21"/>
        </w:rPr>
        <w:t>« moderator injecté ? »</w:t>
      </w:r>
      <w:r>
        <w:rPr>
          <w:color w:val="222222"/>
          <w:sz w:val="21"/>
        </w:rPr>
        <w:t xml:space="preserve"> est le point charnière du schéma. Si aucun modérateur n'a été fourni au moteur, le chemin </w:t>
      </w:r>
      <w:r>
        <w:rPr>
          <w:i/>
          <w:color w:val="222222"/>
          <w:sz w:val="21"/>
        </w:rPr>
        <w:t>non</w:t>
      </w:r>
      <w:r>
        <w:rPr>
          <w:color w:val="222222"/>
          <w:sz w:val="21"/>
        </w:rPr>
        <w:t xml:space="preserve"> mène directement à </w:t>
      </w:r>
      <w:r>
        <w:rPr>
          <w:rFonts w:ascii="Consolas" w:hAnsi="Consolas"/>
          <w:i w:val="0"/>
          <w:color w:val="A31D1D"/>
          <w:sz w:val="19"/>
        </w:rPr>
        <w:t>Decision(allow)</w:t>
      </w:r>
      <w:r>
        <w:rPr>
          <w:color w:val="222222"/>
          <w:sz w:val="21"/>
        </w:rPr>
        <w:t xml:space="preserve"> : la deuxième ligne est simplement absente. Si un modérateur est présent, le message passe encore par le LLM-juge avant d'être autorisé.</w:t>
      </w:r>
    </w:p>
    <w:p>
      <w:pPr>
        <w:pStyle w:val="Heading2"/>
      </w:pPr>
      <w:r>
        <w:t>Ce que le schéma décide</w:t>
      </w:r>
    </w:p>
    <w:p>
      <w:pPr>
        <w:pStyle w:val="Heading3"/>
      </w:pPr>
      <w:r>
        <w:t>L'ordre des détecteurs n'est pas arbitraire</w:t>
      </w:r>
    </w:p>
    <w:p>
      <w:pPr>
        <w:pStyle w:val="ListBullet"/>
        <w:spacing w:after="60"/>
        <w:ind w:left="340" w:hanging="198"/>
      </w:pPr>
      <w:r>
        <w:rPr>
          <w:b/>
          <w:color w:val="222222"/>
          <w:sz w:val="21"/>
        </w:rPr>
        <w:t>Le déterministe et gratuit d'abord.</w:t>
      </w:r>
      <w:r>
        <w:rPr>
          <w:color w:val="222222"/>
          <w:sz w:val="21"/>
        </w:rPr>
        <w:t xml:space="preserve"> Les quatre premiers détecteurs ne coûtent aucun appel réseau. Ils attrapent l'essentiel des cas nets </w:t>
      </w:r>
      <w:r>
        <w:rPr>
          <w:b/>
          <w:color w:val="222222"/>
          <w:sz w:val="21"/>
        </w:rPr>
        <w:t>sans jamais solliciter le LLM</w:t>
      </w:r>
      <w:r>
        <w:rPr>
          <w:color w:val="222222"/>
          <w:sz w:val="21"/>
        </w:rPr>
        <w:t>.</w:t>
      </w:r>
    </w:p>
    <w:p>
      <w:pPr>
        <w:pStyle w:val="ListBullet"/>
        <w:spacing w:after="60"/>
        <w:ind w:left="340" w:hanging="198"/>
      </w:pPr>
      <w:r>
        <w:rPr>
          <w:b/>
          <w:color w:val="222222"/>
          <w:sz w:val="21"/>
        </w:rPr>
        <w:t>Le sémantique et coûteux ensuite, et seulement si nécessaire.</w:t>
      </w:r>
      <w:r>
        <w:rPr>
          <w:color w:val="222222"/>
          <w:sz w:val="21"/>
        </w:rPr>
        <w:t xml:space="preserve"> Le LLM-juge n'est appelé que sur ce que la première ligne a laissé passer. Économie d'appels, et surtout : il ne peut pas « déverrouiller » un blocage déjà décidé par une regex.</w:t>
      </w:r>
    </w:p>
    <w:p>
      <w:pPr>
        <w:pStyle w:val="Heading3"/>
      </w:pPr>
      <w:r>
        <w:t xml:space="preserve">Le crochet </w:t>
      </w:r>
      <w:r>
        <w:rPr>
          <w:rFonts w:ascii="Consolas" w:hAnsi="Consolas"/>
        </w:rPr>
        <w:t>moderator</w:t>
      </w:r>
      <w:r>
        <w:t xml:space="preserve"> — une dépendance injectée, </w:t>
      </w:r>
      <w:r>
        <w:rPr>
          <w:rFonts w:ascii="Consolas" w:hAnsi="Consolas"/>
        </w:rPr>
        <w:t>None</w:t>
      </w:r>
      <w:r>
        <w:t xml:space="preserve"> par défaut</w:t>
      </w:r>
    </w:p>
    <w:p>
      <w:r>
        <w:rPr>
          <w:color w:val="222222"/>
          <w:sz w:val="21"/>
        </w:rPr>
        <w:t>C'est la traduction en code de l'arbitrage central du chantier garde-fous :</w:t>
      </w:r>
    </w:p>
    <w:tbl>
      <w:tblPr>
        <w:tblW w:type="auto" w:w="0"/>
        <w:jc w:val="center"/>
        <w:tblLayout w:type="fixed"/>
        <w:tblLook w:firstColumn="1" w:firstRow="1" w:lastColumn="0" w:lastRow="0" w:noHBand="0" w:noVBand="1" w:val="04A0"/>
      </w:tblPr>
      <w:tblGrid>
        <w:gridCol w:w="4649"/>
        <w:gridCol w:w="4649"/>
      </w:tblGrid>
      <w:tr>
        <w:tc>
          <w:tcPr>
            <w:tcW w:type="dxa" w:w="3628"/>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Instanciation</w:t>
            </w:r>
          </w:p>
        </w:tc>
        <w:tc>
          <w:tcPr>
            <w:tcW w:type="dxa" w:w="5669"/>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Comportement</w:t>
            </w:r>
          </w:p>
        </w:tc>
      </w:tr>
      <w:tr>
        <w:tc>
          <w:tcPr>
            <w:tcW w:type="dxa" w:w="3628"/>
            <w:tcBorders>
              <w:top w:val="single" w:sz="6" w:color="D9D9D9"/>
              <w:left w:val="single" w:sz="6" w:color="D9D9D9"/>
              <w:bottom w:val="single" w:sz="6" w:color="D9D9D9"/>
              <w:right w:val="single" w:sz="6" w:color="D9D9D9"/>
            </w:tcBorders>
          </w:tcPr>
          <w:p>
            <w:pPr>
              <w:spacing w:before="40" w:after="40"/>
            </w:pPr>
            <w:r>
              <w:rPr>
                <w:rFonts w:ascii="Consolas" w:hAnsi="Consolas"/>
                <w:i w:val="0"/>
                <w:color w:val="A31D1D"/>
                <w:sz w:val="17"/>
              </w:rPr>
              <w:t>GuardrailEngine()</w:t>
            </w:r>
          </w:p>
        </w:tc>
        <w:tc>
          <w:tcPr>
            <w:tcW w:type="dxa" w:w="5669"/>
            <w:tcBorders>
              <w:top w:val="single" w:sz="6" w:color="D9D9D9"/>
              <w:left w:val="single" w:sz="6" w:color="D9D9D9"/>
              <w:bottom w:val="single" w:sz="6" w:color="D9D9D9"/>
              <w:right w:val="single" w:sz="6" w:color="D9D9D9"/>
            </w:tcBorders>
          </w:tcPr>
          <w:p>
            <w:pPr>
              <w:spacing w:before="40" w:after="40"/>
            </w:pPr>
            <w:r>
              <w:rPr>
                <w:color w:val="222222"/>
                <w:sz w:val="19"/>
              </w:rPr>
              <w:t xml:space="preserve">Première ligne seule (déterministe) → </w:t>
            </w:r>
            <w:r>
              <w:rPr>
                <w:b/>
                <w:color w:val="222222"/>
                <w:sz w:val="19"/>
              </w:rPr>
              <w:t>passe les tests, tient en CI</w:t>
            </w:r>
            <w:r>
              <w:rPr>
                <w:color w:val="222222"/>
                <w:sz w:val="19"/>
              </w:rPr>
              <w:t>.</w:t>
            </w:r>
          </w:p>
        </w:tc>
      </w:tr>
      <w:tr>
        <w:tc>
          <w:tcPr>
            <w:tcW w:type="dxa" w:w="3628"/>
            <w:tcBorders>
              <w:top w:val="single" w:sz="6" w:color="D9D9D9"/>
              <w:left w:val="single" w:sz="6" w:color="D9D9D9"/>
              <w:bottom w:val="single" w:sz="6" w:color="D9D9D9"/>
              <w:right w:val="single" w:sz="6" w:color="D9D9D9"/>
            </w:tcBorders>
            <w:shd w:val="clear" w:color="auto" w:fill="F6F8FB"/>
          </w:tcPr>
          <w:p>
            <w:pPr>
              <w:spacing w:before="40" w:after="40"/>
            </w:pPr>
            <w:r>
              <w:rPr>
                <w:rFonts w:ascii="Consolas" w:hAnsi="Consolas"/>
                <w:i w:val="0"/>
                <w:color w:val="A31D1D"/>
                <w:sz w:val="17"/>
              </w:rPr>
              <w:t>GuardrailEngine(moderator=&lt;llm_juge&gt;)</w:t>
            </w:r>
          </w:p>
        </w:tc>
        <w:tc>
          <w:tcPr>
            <w:tcW w:type="dxa" w:w="5669"/>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 xml:space="preserve">Première ligne + LLM-juge → </w:t>
            </w:r>
            <w:r>
              <w:rPr>
                <w:b/>
                <w:color w:val="222222"/>
                <w:sz w:val="19"/>
              </w:rPr>
              <w:t>robustesse en production</w:t>
            </w:r>
            <w:r>
              <w:rPr>
                <w:color w:val="222222"/>
                <w:sz w:val="19"/>
              </w:rPr>
              <w:t>.</w:t>
            </w:r>
          </w:p>
        </w:tc>
      </w:tr>
    </w:tbl>
    <w:p>
      <w:pPr>
        <w:spacing w:after="40"/>
      </w:pPr>
    </w:p>
    <w:p>
      <w:r>
        <w:rPr>
          <w:color w:val="222222"/>
          <w:sz w:val="21"/>
        </w:rPr>
        <w:t xml:space="preserve">Le chemin exercé en intégration continue reste ainsi </w:t>
      </w:r>
      <w:r>
        <w:rPr>
          <w:b/>
          <w:color w:val="222222"/>
          <w:sz w:val="21"/>
        </w:rPr>
        <w:t>100 % déterministe</w:t>
      </w:r>
      <w:r>
        <w:rPr>
          <w:color w:val="222222"/>
          <w:sz w:val="21"/>
        </w:rPr>
        <w:t xml:space="preserve">, tout en gardant l'interface prête pour la production. C'est aussi le principe de </w:t>
      </w:r>
      <w:r>
        <w:rPr>
          <w:b/>
          <w:color w:val="222222"/>
          <w:sz w:val="21"/>
        </w:rPr>
        <w:t>réversibilité</w:t>
      </w:r>
      <w:r>
        <w:rPr>
          <w:color w:val="222222"/>
          <w:sz w:val="21"/>
        </w:rPr>
        <w:t xml:space="preserve"> : si un classifieur de modération dédié devenait disponible, il se brancherait à la place du LLM-juge sans toucher au reste du pipeline.</w:t>
      </w:r>
    </w:p>
    <w:p>
      <w:pPr>
        <w:pStyle w:val="Heading2"/>
      </w:pPr>
      <w:r>
        <w:t>Résultat mesuré</w:t>
      </w:r>
    </w:p>
    <w:tbl>
      <w:tblPr>
        <w:tblW w:type="auto" w:w="0"/>
        <w:jc w:val="center"/>
        <w:tblLayout w:type="fixed"/>
        <w:tblLook w:firstColumn="1" w:firstRow="1" w:lastColumn="0" w:lastRow="0" w:noHBand="0" w:noVBand="1" w:val="04A0"/>
      </w:tblPr>
      <w:tblGrid>
        <w:gridCol w:w="9298"/>
      </w:tblGrid>
      <w:tr>
        <w:tc>
          <w:tcPr>
            <w:tcW w:type="dxa" w:w="9298"/>
            <w:tcBorders>
              <w:top w:val="single" w:sz="4" w:color="F1F7F2"/>
              <w:left w:val="single" w:sz="18" w:color="2E7D32"/>
              <w:bottom w:val="single" w:sz="4" w:color="F1F7F2"/>
              <w:right w:val="single" w:sz="4" w:color="F1F7F2"/>
            </w:tcBorders>
            <w:shd w:val="clear" w:color="auto" w:fill="F1F7F2"/>
          </w:tcPr>
          <w:p>
            <w:pPr>
              <w:spacing w:before="80" w:after="40"/>
            </w:pPr>
            <w:r>
              <w:rPr>
                <w:rFonts w:ascii="Calibri" w:hAnsi="Calibri"/>
                <w:b/>
                <w:color w:val="2E7D32"/>
                <w:sz w:val="17"/>
              </w:rPr>
              <w:t>CONTRAINTE DE LIVRAISON</w:t>
            </w:r>
          </w:p>
          <w:p>
            <w:pPr>
              <w:spacing w:after="100"/>
            </w:pPr>
            <w:r>
              <w:rPr>
                <w:b/>
                <w:color w:val="222222"/>
                <w:sz w:val="20"/>
              </w:rPr>
              <w:t>100 % des messages hostiles bloqués</w:t>
            </w:r>
            <w:r>
              <w:rPr>
                <w:color w:val="222222"/>
                <w:sz w:val="20"/>
              </w:rPr>
              <w:t xml:space="preserve">, et </w:t>
            </w:r>
            <w:r>
              <w:rPr>
                <w:b/>
                <w:color w:val="222222"/>
                <w:sz w:val="20"/>
              </w:rPr>
              <w:t>0 faux positif</w:t>
            </w:r>
            <w:r>
              <w:rPr>
                <w:color w:val="222222"/>
                <w:sz w:val="20"/>
              </w:rPr>
              <w:t xml:space="preserve"> sur les douze cas légitimes (le seuil toléré était de 10 %). Ces douze cas — « mon colis est en retard », « statut de ma commande ? » — sont sans ambiguïté : si un seul vrai client est bloqué à tort, la livraison est refusée. </w:t>
            </w:r>
            <w:r>
              <w:rPr>
                <w:b/>
                <w:color w:val="222222"/>
                <w:sz w:val="20"/>
              </w:rPr>
              <w:t>Résultat obtenu : 5 tests sur 5, zéro faux positif.</w:t>
            </w:r>
          </w:p>
        </w:tc>
      </w:tr>
    </w:tbl>
    <w:p>
      <w:pPr>
        <w:spacing w:after="40"/>
      </w:pPr>
    </w:p>
    <w:p>
      <w:pPr>
        <w:pStyle w:val="Heading2"/>
      </w:pPr>
      <w:r>
        <w:t>Limites et écarts</w:t>
      </w:r>
    </w:p>
    <w:p>
      <w:pPr>
        <w:pStyle w:val="ListBullet"/>
        <w:spacing w:after="60"/>
        <w:ind w:left="340" w:hanging="198"/>
      </w:pPr>
      <w:r>
        <w:rPr>
          <w:color w:val="222222"/>
          <w:sz w:val="21"/>
        </w:rPr>
        <w:t xml:space="preserve">⚠️ Sans modérateur injecté, la </w:t>
      </w:r>
      <w:r>
        <w:rPr>
          <w:b/>
          <w:color w:val="222222"/>
          <w:sz w:val="21"/>
        </w:rPr>
        <w:t>toxicité paraphrasée passe</w:t>
      </w:r>
      <w:r>
        <w:rPr>
          <w:color w:val="222222"/>
          <w:sz w:val="21"/>
        </w:rPr>
        <w:t>. C'est un trou connu, mesuré et assumé — pas un oubli. Le §7 explique pourquoi la deuxième ligne reste indispensable en production.</w:t>
      </w:r>
    </w:p>
    <w:p>
      <w:pPr>
        <w:pStyle w:val="ListBullet"/>
        <w:spacing w:after="60"/>
        <w:ind w:left="340" w:hanging="198"/>
      </w:pPr>
      <w:r>
        <w:rPr>
          <w:color w:val="222222"/>
          <w:sz w:val="21"/>
        </w:rPr>
        <w:t xml:space="preserve">Les listes de mots-clés sont volontairement </w:t>
      </w:r>
      <w:r>
        <w:rPr>
          <w:b/>
          <w:color w:val="222222"/>
          <w:sz w:val="21"/>
        </w:rPr>
        <w:t>précises plutôt que larges</w:t>
      </w:r>
      <w:r>
        <w:rPr>
          <w:color w:val="222222"/>
          <w:sz w:val="21"/>
        </w:rPr>
        <w:t xml:space="preserve"> : « casser la figure » est une menace, « ça me casse les pieds » ne l'est pas. C'est le premier levier de maîtrise des faux positifs.</w:t>
      </w:r>
    </w:p>
    <w:p>
      <w:r>
        <w:br w:type="page"/>
      </w:r>
    </w:p>
    <w:p>
      <w:pPr>
        <w:pStyle w:val="Heading1"/>
      </w:pPr>
      <w:r>
        <w:t xml:space="preserve">6. Garde-fou de sortie — </w:t>
      </w:r>
      <w:r>
        <w:rPr>
          <w:rFonts w:ascii="Consolas" w:hAnsi="Consolas"/>
        </w:rPr>
        <w:t>check_output</w:t>
      </w:r>
    </w:p>
    <w:p>
      <w:pPr>
        <w:spacing w:after="200"/>
      </w:pPr>
      <w:r>
        <w:rPr>
          <w:i/>
          <w:color w:val="334455"/>
          <w:sz w:val="22"/>
        </w:rPr>
        <w:t>Question posée : que teste-t-on sur la réponse produite par l'agent, avant qu'elle ne parte au client ?</w:t>
      </w:r>
    </w:p>
    <w:p>
      <w:pPr>
        <w:keepNext/>
        <w:spacing w:before="120" w:after="60"/>
        <w:jc w:val="center"/>
      </w:pPr>
      <w:r>
        <w:drawing>
          <wp:inline xmlns:a="http://schemas.openxmlformats.org/drawingml/2006/main" xmlns:pic="http://schemas.openxmlformats.org/drawingml/2006/picture">
            <wp:extent cx="3174718" cy="7379998"/>
            <wp:docPr id="6" name="Picture 6"/>
            <wp:cNvGraphicFramePr>
              <a:graphicFrameLocks noChangeAspect="1"/>
            </wp:cNvGraphicFramePr>
            <a:graphic>
              <a:graphicData uri="http://schemas.openxmlformats.org/drawingml/2006/picture">
                <pic:pic>
                  <pic:nvPicPr>
                    <pic:cNvPr id="0" name="garde-fou-de-sortie-check-output.png"/>
                    <pic:cNvPicPr/>
                  </pic:nvPicPr>
                  <pic:blipFill>
                    <a:blip r:embed="rId15"/>
                    <a:stretch>
                      <a:fillRect/>
                    </a:stretch>
                  </pic:blipFill>
                  <pic:spPr>
                    <a:xfrm>
                      <a:off x="0" y="0"/>
                      <a:ext cx="3174718" cy="7379998"/>
                    </a:xfrm>
                    <a:prstGeom prst="rect"/>
                  </pic:spPr>
                </pic:pic>
              </a:graphicData>
            </a:graphic>
          </wp:inline>
        </w:drawing>
      </w:r>
    </w:p>
    <w:p>
      <w:pPr>
        <w:spacing w:after="240"/>
        <w:jc w:val="center"/>
      </w:pPr>
      <w:r>
        <w:rPr>
          <w:i/>
          <w:color w:val="595959"/>
          <w:sz w:val="18"/>
        </w:rPr>
        <w:t>Figure 6 — L'intérieur du garde-fou de sortie : détection PII prioritaire, puis les détecteurs partagés avec l'entrée.</w:t>
      </w:r>
    </w:p>
    <w:p>
      <w:pPr>
        <w:pStyle w:val="Heading2"/>
      </w:pPr>
      <w:r>
        <w:t>Ce que montre le schéma</w:t>
      </w:r>
    </w:p>
    <w:p>
      <w:r>
        <w:rPr>
          <w:color w:val="222222"/>
          <w:sz w:val="21"/>
        </w:rPr>
        <w:t xml:space="preserve">La structure est </w:t>
      </w:r>
      <w:r>
        <w:rPr>
          <w:b/>
          <w:color w:val="222222"/>
          <w:sz w:val="21"/>
        </w:rPr>
        <w:t>volontairement identique</w:t>
      </w:r>
      <w:r>
        <w:rPr>
          <w:color w:val="222222"/>
          <w:sz w:val="21"/>
        </w:rPr>
        <w:t xml:space="preserve"> à celle de l'entrée : cascade déterministe, puis LLM-juge optionnel, et une seule porte de blocage. Deux différences seulement, et chacune se justifie.</w:t>
      </w:r>
    </w:p>
    <w:tbl>
      <w:tblPr>
        <w:tblW w:type="auto" w:w="0"/>
        <w:jc w:val="center"/>
        <w:tblLayout w:type="fixed"/>
        <w:tblLook w:firstColumn="1" w:firstRow="1" w:lastColumn="0" w:lastRow="0" w:noHBand="0" w:noVBand="1" w:val="04A0"/>
      </w:tblPr>
      <w:tblGrid>
        <w:gridCol w:w="4649"/>
        <w:gridCol w:w="4649"/>
      </w:tblGrid>
      <w:tr>
        <w:tc>
          <w:tcPr>
            <w:tcW w:type="dxa" w:w="2835"/>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Différence</w:t>
            </w:r>
          </w:p>
        </w:tc>
        <w:tc>
          <w:tcPr>
            <w:tcW w:type="dxa" w:w="6463"/>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Pourquoi</w:t>
            </w:r>
          </w:p>
        </w:tc>
      </w:tr>
      <w:tr>
        <w:tc>
          <w:tcPr>
            <w:tcW w:type="dxa" w:w="2835"/>
            <w:tcBorders>
              <w:top w:val="single" w:sz="6" w:color="D9D9D9"/>
              <w:left w:val="single" w:sz="6" w:color="D9D9D9"/>
              <w:bottom w:val="single" w:sz="6" w:color="D9D9D9"/>
              <w:right w:val="single" w:sz="6" w:color="D9D9D9"/>
            </w:tcBorders>
          </w:tcPr>
          <w:p>
            <w:pPr>
              <w:spacing w:before="40" w:after="40"/>
            </w:pPr>
            <w:r>
              <w:rPr>
                <w:b/>
                <w:color w:val="222222"/>
                <w:sz w:val="19"/>
              </w:rPr>
              <w:t>`pii` n'existe qu'en sortie.</w:t>
            </w:r>
          </w:p>
        </w:tc>
        <w:tc>
          <w:tcPr>
            <w:tcW w:type="dxa" w:w="6463"/>
            <w:tcBorders>
              <w:top w:val="single" w:sz="6" w:color="D9D9D9"/>
              <w:left w:val="single" w:sz="6" w:color="D9D9D9"/>
              <w:bottom w:val="single" w:sz="6" w:color="D9D9D9"/>
              <w:right w:val="single" w:sz="6" w:color="D9D9D9"/>
            </w:tcBorders>
          </w:tcPr>
          <w:p>
            <w:pPr>
              <w:spacing w:before="40" w:after="40"/>
            </w:pPr>
            <w:r>
              <w:rPr>
                <w:color w:val="222222"/>
                <w:sz w:val="19"/>
              </w:rPr>
              <w:t xml:space="preserve">Le risque n'est pas qu'un client écrive son propre numéro de carte — c'est que </w:t>
            </w:r>
            <w:r>
              <w:rPr>
                <w:b/>
                <w:color w:val="222222"/>
                <w:sz w:val="19"/>
              </w:rPr>
              <w:t>l'agent le lui renvoie</w:t>
            </w:r>
            <w:r>
              <w:rPr>
                <w:color w:val="222222"/>
                <w:sz w:val="19"/>
              </w:rPr>
              <w:t>. Un IBAN, une carte à 16 chiffres, un mot de passe qui ressort de la réponse : voilà la fuite réelle.</w:t>
            </w:r>
          </w:p>
        </w:tc>
      </w:tr>
      <w:tr>
        <w:tc>
          <w:tcPr>
            <w:tcW w:type="dxa" w:w="2835"/>
            <w:tcBorders>
              <w:top w:val="single" w:sz="6" w:color="D9D9D9"/>
              <w:left w:val="single" w:sz="6" w:color="D9D9D9"/>
              <w:bottom w:val="single" w:sz="6" w:color="D9D9D9"/>
              <w:right w:val="single" w:sz="6" w:color="D9D9D9"/>
            </w:tcBorders>
            <w:shd w:val="clear" w:color="auto" w:fill="F6F8FB"/>
          </w:tcPr>
          <w:p>
            <w:pPr>
              <w:spacing w:before="40" w:after="40"/>
            </w:pPr>
            <w:r>
              <w:rPr>
                <w:b/>
                <w:color w:val="222222"/>
                <w:sz w:val="19"/>
              </w:rPr>
              <w:t>`prompt_injection` n'existe qu'en entrée.</w:t>
            </w:r>
          </w:p>
        </w:tc>
        <w:tc>
          <w:tcPr>
            <w:tcW w:type="dxa" w:w="6463"/>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 xml:space="preserve">C'est une attaque qui vient du client. Elle s'arrête à la porte ; en sortie, ce qu'on surveille, c'est son </w:t>
            </w:r>
            <w:r>
              <w:rPr>
                <w:b/>
                <w:color w:val="222222"/>
                <w:sz w:val="19"/>
              </w:rPr>
              <w:t>effet</w:t>
            </w:r>
            <w:r>
              <w:rPr>
                <w:color w:val="222222"/>
                <w:sz w:val="19"/>
              </w:rPr>
              <w:t xml:space="preserve"> (toxicité, fuite), pas sa formulation.</w:t>
            </w:r>
          </w:p>
        </w:tc>
      </w:tr>
    </w:tbl>
    <w:p>
      <w:pPr>
        <w:spacing w:after="40"/>
      </w:pPr>
    </w:p>
    <w:p>
      <w:pPr>
        <w:pStyle w:val="Heading2"/>
      </w:pPr>
      <w:r>
        <w:t>Lecture guidée</w:t>
      </w:r>
    </w:p>
    <w:p>
      <w:pPr>
        <w:pStyle w:val="ListNumber"/>
        <w:spacing w:after="60"/>
        <w:ind w:left="397" w:hanging="227"/>
      </w:pPr>
      <w:r>
        <w:rPr>
          <w:b/>
          <w:color w:val="222222"/>
          <w:sz w:val="21"/>
        </w:rPr>
        <w:t>Premier losange — PII</w:t>
      </w:r>
      <w:r>
        <w:rPr>
          <w:color w:val="222222"/>
          <w:sz w:val="21"/>
        </w:rPr>
        <w:t xml:space="preserve">, et à l'intérieur un ordre imposé : </w:t>
      </w:r>
      <w:r>
        <w:rPr>
          <w:b/>
          <w:color w:val="222222"/>
          <w:sz w:val="21"/>
        </w:rPr>
        <w:t>IBAN d'abord, carte 16 chiffres ensuite</w:t>
      </w:r>
      <w:r>
        <w:rPr>
          <w:color w:val="222222"/>
          <w:sz w:val="21"/>
        </w:rPr>
        <w:t>.</w:t>
      </w:r>
    </w:p>
    <w:p>
      <w:pPr>
        <w:pStyle w:val="ListNumber"/>
        <w:spacing w:after="60"/>
        <w:ind w:left="397" w:hanging="227"/>
      </w:pPr>
      <w:r>
        <w:rPr>
          <w:b/>
          <w:color w:val="222222"/>
          <w:sz w:val="21"/>
        </w:rPr>
        <w:t>Deuxième losange — secrets, toxicité, hors périmètre</w:t>
      </w:r>
      <w:r>
        <w:rPr>
          <w:color w:val="222222"/>
          <w:sz w:val="21"/>
        </w:rPr>
        <w:t xml:space="preserve"> : les mêmes détecteurs qu'en entrée, réutilisés tels quels.</w:t>
      </w:r>
    </w:p>
    <w:p>
      <w:pPr>
        <w:pStyle w:val="ListNumber"/>
        <w:spacing w:after="60"/>
        <w:ind w:left="397" w:hanging="227"/>
      </w:pPr>
      <w:r>
        <w:rPr>
          <w:b/>
          <w:color w:val="222222"/>
          <w:sz w:val="21"/>
        </w:rPr>
        <w:t>`moderator` injecté ?</w:t>
      </w:r>
      <w:r>
        <w:rPr>
          <w:color w:val="222222"/>
          <w:sz w:val="21"/>
        </w:rPr>
        <w:t xml:space="preserve"> — même charnière qu'au §5. Si aucun modérateur, la réponse est autorisée. Sinon, le LLM-juge cherche encore la </w:t>
      </w:r>
      <w:r>
        <w:rPr>
          <w:b/>
          <w:color w:val="222222"/>
          <w:sz w:val="21"/>
        </w:rPr>
        <w:t>fuite reformulée</w:t>
      </w:r>
      <w:r>
        <w:rPr>
          <w:color w:val="222222"/>
          <w:sz w:val="21"/>
        </w:rPr>
        <w:t xml:space="preserve"> et la </w:t>
      </w:r>
      <w:r>
        <w:rPr>
          <w:b/>
          <w:color w:val="222222"/>
          <w:sz w:val="21"/>
        </w:rPr>
        <w:t>dérive sémantique</w:t>
      </w:r>
      <w:r>
        <w:rPr>
          <w:color w:val="222222"/>
          <w:sz w:val="21"/>
        </w:rPr>
        <w:t>.</w:t>
      </w:r>
    </w:p>
    <w:tbl>
      <w:tblPr>
        <w:tblW w:type="auto" w:w="0"/>
        <w:jc w:val="center"/>
        <w:tblLayout w:type="fixed"/>
        <w:tblLook w:firstColumn="1" w:firstRow="1" w:lastColumn="0" w:lastRow="0" w:noHBand="0" w:noVBand="1" w:val="04A0"/>
      </w:tblPr>
      <w:tblGrid>
        <w:gridCol w:w="9298"/>
      </w:tblGrid>
      <w:tr>
        <w:tc>
          <w:tcPr>
            <w:tcW w:type="dxa" w:w="9298"/>
            <w:tcBorders>
              <w:top w:val="single" w:sz="4" w:color="F2F5F9"/>
              <w:left w:val="single" w:sz="18" w:color="2E5C8A"/>
              <w:bottom w:val="single" w:sz="4" w:color="F2F5F9"/>
              <w:right w:val="single" w:sz="4" w:color="F2F5F9"/>
            </w:tcBorders>
            <w:shd w:val="clear" w:color="auto" w:fill="F2F5F9"/>
          </w:tcPr>
          <w:p>
            <w:pPr>
              <w:spacing w:before="80" w:after="40"/>
            </w:pPr>
            <w:r>
              <w:rPr>
                <w:rFonts w:ascii="Calibri" w:hAnsi="Calibri"/>
                <w:b/>
                <w:color w:val="2E5C8A"/>
                <w:sz w:val="17"/>
              </w:rPr>
              <w:t>LE DÉTAIL DE CONCEPTION À CONNAÎTRE</w:t>
            </w:r>
          </w:p>
          <w:p>
            <w:pPr>
              <w:spacing w:after="100"/>
            </w:pPr>
            <w:r>
              <w:rPr>
                <w:color w:val="222222"/>
                <w:sz w:val="20"/>
              </w:rPr>
              <w:t xml:space="preserve">L'ordre </w:t>
            </w:r>
            <w:r>
              <w:rPr>
                <w:b/>
                <w:color w:val="222222"/>
                <w:sz w:val="20"/>
              </w:rPr>
              <w:t>IBAN avant carte</w:t>
            </w:r>
            <w:r>
              <w:rPr>
                <w:color w:val="222222"/>
                <w:sz w:val="20"/>
              </w:rPr>
              <w:t xml:space="preserve"> n'est pas cosmétique : un IBAN contient des blocs de chiffres qui déclencheraient à tort la regex « carte à 16 chiffres ». Le message serait bloqué — donc pas de fuite — mais </w:t>
            </w:r>
            <w:r>
              <w:rPr>
                <w:b/>
                <w:color w:val="222222"/>
                <w:sz w:val="20"/>
              </w:rPr>
              <w:t>journalisé sous la mauvaise catégorie</w:t>
            </w:r>
            <w:r>
              <w:rPr>
                <w:color w:val="222222"/>
                <w:sz w:val="20"/>
              </w:rPr>
              <w:t>. Un log faux est un log qui ment lors d'un audit. On teste donc le motif le plus spécifique en premier.</w:t>
            </w:r>
          </w:p>
        </w:tc>
      </w:tr>
    </w:tbl>
    <w:p>
      <w:pPr>
        <w:spacing w:after="40"/>
      </w:pPr>
    </w:p>
    <w:p>
      <w:pPr>
        <w:pStyle w:val="Heading2"/>
      </w:pPr>
      <w:r>
        <w:t>Ce que le schéma décide</w:t>
      </w:r>
    </w:p>
    <w:p>
      <w:pPr>
        <w:pStyle w:val="ListBullet"/>
        <w:spacing w:after="60"/>
        <w:ind w:left="340" w:hanging="198"/>
      </w:pPr>
      <w:r>
        <w:rPr>
          <w:b/>
          <w:color w:val="222222"/>
          <w:sz w:val="21"/>
        </w:rPr>
        <w:t>Le garde-fou de sortie est le filet de l'injection.</w:t>
      </w:r>
      <w:r>
        <w:rPr>
          <w:color w:val="222222"/>
          <w:sz w:val="21"/>
        </w:rPr>
        <w:t xml:space="preserve"> Si une injection avait fait dériver le LLM malgré le contrôle d'entrée, sa production est re-filtrée ici. C'est la troisième des cinq couches anti-injection : </w:t>
      </w:r>
      <w:r>
        <w:rPr>
          <w:i/>
          <w:color w:val="222222"/>
          <w:sz w:val="21"/>
        </w:rPr>
        <w:t>le mal ne sort pas, même s'il est entré.</w:t>
      </w:r>
    </w:p>
    <w:p>
      <w:pPr>
        <w:pStyle w:val="ListBullet"/>
        <w:spacing w:after="60"/>
        <w:ind w:left="340" w:hanging="198"/>
      </w:pPr>
      <w:r>
        <w:rPr>
          <w:b/>
          <w:color w:val="222222"/>
          <w:sz w:val="21"/>
        </w:rPr>
        <w:t>Le refus est adapté à la catégorie, et n'explique jamais la règle.</w:t>
      </w:r>
      <w:r>
        <w:rPr>
          <w:color w:val="222222"/>
          <w:sz w:val="21"/>
        </w:rPr>
        <w:t xml:space="preserve"> « Je ne peux pas partager d'informations internes » — jamais « j'ai un filtre qui bloque les clés API ». Expliquer le mécanisme, c'est aider l'attaquant à le contourner.</w:t>
      </w:r>
    </w:p>
    <w:p>
      <w:pPr>
        <w:pStyle w:val="ListBullet"/>
        <w:spacing w:after="60"/>
        <w:ind w:left="340" w:hanging="198"/>
      </w:pPr>
      <w:r>
        <w:rPr>
          <w:b/>
          <w:color w:val="222222"/>
          <w:sz w:val="21"/>
        </w:rPr>
        <w:t>Les logs sont masqués.</w:t>
      </w:r>
      <w:r>
        <w:rPr>
          <w:color w:val="222222"/>
          <w:sz w:val="21"/>
        </w:rPr>
        <w:t xml:space="preserve"> On journalise le blocage, la catégorie et le détecteur déclenché — </w:t>
      </w:r>
      <w:r>
        <w:rPr>
          <w:b/>
          <w:color w:val="222222"/>
          <w:sz w:val="21"/>
        </w:rPr>
        <w:t>jamais la donnée sensible en clair</w:t>
      </w:r>
      <w:r>
        <w:rPr>
          <w:color w:val="222222"/>
          <w:sz w:val="21"/>
        </w:rPr>
        <w:t>. Recopier dans un journal le numéro de carte qu'on vient de bloquer annulerait le bénéfice du blocage. Cette règle vaut aussi pour la télémétrie envoyée à l'extérieur.</w:t>
      </w:r>
    </w:p>
    <w:p>
      <w:pPr>
        <w:pStyle w:val="ListBullet"/>
        <w:spacing w:after="60"/>
        <w:ind w:left="340" w:hanging="198"/>
      </w:pPr>
      <w:r>
        <w:rPr>
          <w:b/>
          <w:color w:val="222222"/>
          <w:sz w:val="21"/>
        </w:rPr>
        <w:t>La sévérité est réglée catégorie par catégorie.</w:t>
      </w:r>
      <w:r>
        <w:rPr>
          <w:color w:val="222222"/>
          <w:sz w:val="21"/>
        </w:rPr>
        <w:t xml:space="preserve"> Pour la PII en sortie, on est </w:t>
      </w:r>
      <w:r>
        <w:rPr>
          <w:b/>
          <w:color w:val="222222"/>
          <w:sz w:val="21"/>
        </w:rPr>
        <w:t>strict</w:t>
      </w:r>
      <w:r>
        <w:rPr>
          <w:color w:val="222222"/>
          <w:sz w:val="21"/>
        </w:rPr>
        <w:t xml:space="preserve"> : laisser fuiter une carte est grave, masquer un contenu anodin est mineur. Pour le support légitime, on est </w:t>
      </w:r>
      <w:r>
        <w:rPr>
          <w:b/>
          <w:color w:val="222222"/>
          <w:sz w:val="21"/>
        </w:rPr>
        <w:t>tolérant</w:t>
      </w:r>
      <w:r>
        <w:rPr>
          <w:color w:val="222222"/>
          <w:sz w:val="21"/>
        </w:rPr>
        <w:t xml:space="preserve"> : bloquer « mon colis est en retard » est inacceptable.</w:t>
      </w:r>
    </w:p>
    <w:p>
      <w:pPr>
        <w:pStyle w:val="Heading2"/>
      </w:pPr>
      <w:r>
        <w:t>Limites et écarts</w:t>
      </w:r>
    </w:p>
    <w:p>
      <w:pPr>
        <w:pStyle w:val="ListBullet"/>
        <w:spacing w:after="60"/>
        <w:ind w:left="340" w:hanging="198"/>
      </w:pPr>
      <w:r>
        <w:rPr>
          <w:color w:val="222222"/>
          <w:sz w:val="21"/>
        </w:rPr>
        <w:t>La détection PII repose sur des formats fixes (IBAN, carte, mot de passe). Une donnée sensible sans format reconnaissable — une adresse rédigée en toutes lettres — n'est pas couverte par la première ligne ; c'est précisément le domaine du LLM-juge.</w:t>
      </w:r>
    </w:p>
    <w:p>
      <w:pPr>
        <w:pStyle w:val="ListBullet"/>
        <w:spacing w:after="60"/>
        <w:ind w:left="340" w:hanging="198"/>
      </w:pPr>
      <w:r>
        <w:rPr>
          <w:color w:val="222222"/>
          <w:sz w:val="21"/>
        </w:rPr>
        <w:t xml:space="preserve">⚠️ Comme en entrée, la deuxième ligne est </w:t>
      </w:r>
      <w:r>
        <w:rPr>
          <w:b/>
          <w:color w:val="222222"/>
          <w:sz w:val="21"/>
        </w:rPr>
        <w:t>absente du chemin testé en CI</w:t>
      </w:r>
      <w:r>
        <w:rPr>
          <w:color w:val="222222"/>
          <w:sz w:val="21"/>
        </w:rPr>
        <w:t xml:space="preserve">, puisque le modérateur y est </w:t>
      </w:r>
      <w:r>
        <w:rPr>
          <w:rFonts w:ascii="Consolas" w:hAnsi="Consolas"/>
          <w:i w:val="0"/>
          <w:color w:val="A31D1D"/>
          <w:sz w:val="19"/>
        </w:rPr>
        <w:t>None</w:t>
      </w:r>
      <w:r>
        <w:rPr>
          <w:color w:val="222222"/>
          <w:sz w:val="21"/>
        </w:rPr>
        <w:t>. Ce qui est démontré par les tests, c'est le socle déterministe.</w:t>
      </w:r>
    </w:p>
    <w:p>
      <w:r>
        <w:br w:type="page"/>
      </w:r>
    </w:p>
    <w:p>
      <w:pPr>
        <w:pStyle w:val="Heading1"/>
      </w:pPr>
      <w:r>
        <w:t>7. Défense en profondeur — deux lignes, pas une hiérarchie</w:t>
      </w:r>
    </w:p>
    <w:p>
      <w:pPr>
        <w:spacing w:after="200"/>
      </w:pPr>
      <w:r>
        <w:rPr>
          <w:i/>
          <w:color w:val="334455"/>
          <w:sz w:val="22"/>
        </w:rPr>
        <w:t>Question posée : pourquoi deux mécanismes de détection plutôt qu'un seul, meilleur ?</w:t>
      </w:r>
    </w:p>
    <w:p>
      <w:pPr>
        <w:keepNext/>
        <w:spacing w:before="120" w:after="60"/>
        <w:jc w:val="center"/>
      </w:pPr>
      <w:r>
        <w:drawing>
          <wp:inline xmlns:a="http://schemas.openxmlformats.org/drawingml/2006/main" xmlns:pic="http://schemas.openxmlformats.org/drawingml/2006/picture">
            <wp:extent cx="5448040" cy="7379999"/>
            <wp:docPr id="7" name="Picture 7"/>
            <wp:cNvGraphicFramePr>
              <a:graphicFrameLocks noChangeAspect="1"/>
            </wp:cNvGraphicFramePr>
            <a:graphic>
              <a:graphicData uri="http://schemas.openxmlformats.org/drawingml/2006/picture">
                <pic:pic>
                  <pic:nvPicPr>
                    <pic:cNvPr id="0" name="defense-en-profondeur-deux-lignes-pas-une-hierarchie.png"/>
                    <pic:cNvPicPr/>
                  </pic:nvPicPr>
                  <pic:blipFill>
                    <a:blip r:embed="rId16"/>
                    <a:stretch>
                      <a:fillRect/>
                    </a:stretch>
                  </pic:blipFill>
                  <pic:spPr>
                    <a:xfrm>
                      <a:off x="0" y="0"/>
                      <a:ext cx="5448040" cy="7379999"/>
                    </a:xfrm>
                    <a:prstGeom prst="rect"/>
                  </pic:spPr>
                </pic:pic>
              </a:graphicData>
            </a:graphic>
          </wp:inline>
        </w:drawing>
      </w:r>
    </w:p>
    <w:p>
      <w:pPr>
        <w:spacing w:after="240"/>
        <w:jc w:val="center"/>
      </w:pPr>
      <w:r>
        <w:rPr>
          <w:i/>
          <w:color w:val="595959"/>
          <w:sz w:val="18"/>
        </w:rPr>
        <w:t>Figure 7 — Le principe transverse qui donne leur forme aux garde-fous d'entrée et de sortie.</w:t>
      </w:r>
    </w:p>
    <w:p>
      <w:pPr>
        <w:pStyle w:val="Heading2"/>
      </w:pPr>
      <w:r>
        <w:t>Ce que montre le schéma</w:t>
      </w:r>
    </w:p>
    <w:p>
      <w:r>
        <w:rPr>
          <w:color w:val="222222"/>
          <w:sz w:val="21"/>
        </w:rPr>
        <w:t xml:space="preserve">Ce dernier schéma n'est pas un flux d'exécution : c'est un </w:t>
      </w:r>
      <w:r>
        <w:rPr>
          <w:b/>
          <w:color w:val="222222"/>
          <w:sz w:val="21"/>
        </w:rPr>
        <w:t>schéma d'argumentation</w:t>
      </w:r>
      <w:r>
        <w:rPr>
          <w:color w:val="222222"/>
          <w:sz w:val="21"/>
        </w:rPr>
        <w:t xml:space="preserve">. Il justifie la forme des deux précédents. Sa lecture tient dans la note en bas, reliée aux deux lignes par des traits en pointillés — un lien de </w:t>
      </w:r>
      <w:r>
        <w:rPr>
          <w:b/>
          <w:color w:val="222222"/>
          <w:sz w:val="21"/>
        </w:rPr>
        <w:t>commentaire</w:t>
      </w:r>
      <w:r>
        <w:rPr>
          <w:color w:val="222222"/>
          <w:sz w:val="21"/>
        </w:rPr>
        <w:t xml:space="preserve">, pas de flux : </w:t>
      </w:r>
      <w:r>
        <w:rPr>
          <w:b/>
          <w:color w:val="222222"/>
          <w:sz w:val="21"/>
        </w:rPr>
        <w:t>*ni l'un ni l'autre ne suffit seul</w:t>
      </w:r>
      <w:r>
        <w:rPr>
          <w:color w:val="222222"/>
          <w:sz w:val="21"/>
        </w:rPr>
        <w:t>*.</w:t>
      </w:r>
    </w:p>
    <w:p>
      <w:r>
        <w:rPr>
          <w:color w:val="222222"/>
          <w:sz w:val="21"/>
        </w:rPr>
        <w:t xml:space="preserve">Le titre le dit : ce ne sont pas « la principale » et « la secours ». Ce sont </w:t>
      </w:r>
      <w:r>
        <w:rPr>
          <w:b/>
          <w:color w:val="222222"/>
          <w:sz w:val="21"/>
        </w:rPr>
        <w:t>deux lignes complémentaires par construction</w:t>
      </w:r>
      <w:r>
        <w:rPr>
          <w:color w:val="222222"/>
          <w:sz w:val="21"/>
        </w:rPr>
        <w:t>, dont chacune couvre l'angle mort de l'autre.</w:t>
      </w:r>
    </w:p>
    <w:tbl>
      <w:tblPr>
        <w:tblW w:type="auto" w:w="0"/>
        <w:jc w:val="center"/>
        <w:tblLayout w:type="fixed"/>
        <w:tblLook w:firstColumn="1" w:firstRow="1" w:lastColumn="0" w:lastRow="0" w:noHBand="0" w:noVBand="1" w:val="04A0"/>
      </w:tblPr>
      <w:tblGrid>
        <w:gridCol w:w="3099"/>
        <w:gridCol w:w="3099"/>
        <w:gridCol w:w="3099"/>
      </w:tblGrid>
      <w:tr>
        <w:tc>
          <w:tcPr>
            <w:tcW w:type="dxa" w:w="1361"/>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r>
          </w:p>
        </w:tc>
        <w:tc>
          <w:tcPr>
            <w:tcW w:type="dxa" w:w="3969"/>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1re ligne — regex / mots-clés</w:t>
            </w:r>
          </w:p>
        </w:tc>
        <w:tc>
          <w:tcPr>
            <w:tcW w:type="dxa" w:w="3969"/>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2e ligne — LLM-juge</w:t>
            </w:r>
          </w:p>
        </w:tc>
      </w:tr>
      <w:tr>
        <w:tc>
          <w:tcPr>
            <w:tcW w:type="dxa" w:w="1361"/>
            <w:tcBorders>
              <w:top w:val="single" w:sz="6" w:color="D9D9D9"/>
              <w:left w:val="single" w:sz="6" w:color="D9D9D9"/>
              <w:bottom w:val="single" w:sz="6" w:color="D9D9D9"/>
              <w:right w:val="single" w:sz="6" w:color="D9D9D9"/>
            </w:tcBorders>
          </w:tcPr>
          <w:p>
            <w:pPr>
              <w:spacing w:before="40" w:after="40"/>
            </w:pPr>
            <w:r>
              <w:rPr>
                <w:b/>
                <w:color w:val="222222"/>
                <w:sz w:val="19"/>
              </w:rPr>
              <w:t>Nature</w:t>
            </w:r>
          </w:p>
        </w:tc>
        <w:tc>
          <w:tcPr>
            <w:tcW w:type="dxa" w:w="3969"/>
            <w:tcBorders>
              <w:top w:val="single" w:sz="6" w:color="D9D9D9"/>
              <w:left w:val="single" w:sz="6" w:color="D9D9D9"/>
              <w:bottom w:val="single" w:sz="6" w:color="D9D9D9"/>
              <w:right w:val="single" w:sz="6" w:color="D9D9D9"/>
            </w:tcBorders>
          </w:tcPr>
          <w:p>
            <w:pPr>
              <w:spacing w:before="40" w:after="40"/>
            </w:pPr>
            <w:r>
              <w:rPr>
                <w:color w:val="222222"/>
                <w:sz w:val="19"/>
              </w:rPr>
              <w:t>Déterministe, testable, gratuite.</w:t>
            </w:r>
          </w:p>
        </w:tc>
        <w:tc>
          <w:tcPr>
            <w:tcW w:type="dxa" w:w="3969"/>
            <w:tcBorders>
              <w:top w:val="single" w:sz="6" w:color="D9D9D9"/>
              <w:left w:val="single" w:sz="6" w:color="D9D9D9"/>
              <w:bottom w:val="single" w:sz="6" w:color="D9D9D9"/>
              <w:right w:val="single" w:sz="6" w:color="D9D9D9"/>
            </w:tcBorders>
          </w:tcPr>
          <w:p>
            <w:pPr>
              <w:spacing w:before="40" w:after="40"/>
            </w:pPr>
            <w:r>
              <w:rPr>
                <w:color w:val="222222"/>
                <w:sz w:val="19"/>
              </w:rPr>
              <w:t>Sémantique, contextuelle, multilingue.</w:t>
            </w:r>
          </w:p>
        </w:tc>
      </w:tr>
      <w:tr>
        <w:tc>
          <w:tcPr>
            <w:tcW w:type="dxa" w:w="1361"/>
            <w:tcBorders>
              <w:top w:val="single" w:sz="6" w:color="D9D9D9"/>
              <w:left w:val="single" w:sz="6" w:color="D9D9D9"/>
              <w:bottom w:val="single" w:sz="6" w:color="D9D9D9"/>
              <w:right w:val="single" w:sz="6" w:color="D9D9D9"/>
            </w:tcBorders>
            <w:shd w:val="clear" w:color="auto" w:fill="F6F8FB"/>
          </w:tcPr>
          <w:p>
            <w:pPr>
              <w:spacing w:before="40" w:after="40"/>
            </w:pPr>
            <w:r>
              <w:rPr>
                <w:b/>
                <w:color w:val="222222"/>
                <w:sz w:val="19"/>
              </w:rPr>
              <w:t>Attrape</w:t>
            </w:r>
          </w:p>
        </w:tc>
        <w:tc>
          <w:tcPr>
            <w:tcW w:type="dxa" w:w="3969"/>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 xml:space="preserve">PII, secrets, injection, toxicité </w:t>
            </w:r>
            <w:r>
              <w:rPr>
                <w:b/>
                <w:color w:val="222222"/>
                <w:sz w:val="19"/>
              </w:rPr>
              <w:t>évidente</w:t>
            </w:r>
            <w:r>
              <w:rPr>
                <w:color w:val="222222"/>
                <w:sz w:val="19"/>
              </w:rPr>
              <w:t>.</w:t>
            </w:r>
          </w:p>
        </w:tc>
        <w:tc>
          <w:tcPr>
            <w:tcW w:type="dxa" w:w="3969"/>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 xml:space="preserve">Toxicité </w:t>
            </w:r>
            <w:r>
              <w:rPr>
                <w:b/>
                <w:color w:val="222222"/>
                <w:sz w:val="19"/>
              </w:rPr>
              <w:t>reformulée</w:t>
            </w:r>
            <w:r>
              <w:rPr>
                <w:color w:val="222222"/>
                <w:sz w:val="19"/>
              </w:rPr>
              <w:t xml:space="preserve">, hors-périmètre </w:t>
            </w:r>
            <w:r>
              <w:rPr>
                <w:b/>
                <w:color w:val="222222"/>
                <w:sz w:val="19"/>
              </w:rPr>
              <w:t>inédit</w:t>
            </w:r>
            <w:r>
              <w:rPr>
                <w:color w:val="222222"/>
                <w:sz w:val="19"/>
              </w:rPr>
              <w:t>.</w:t>
            </w:r>
          </w:p>
        </w:tc>
      </w:tr>
      <w:tr>
        <w:tc>
          <w:tcPr>
            <w:tcW w:type="dxa" w:w="1361"/>
            <w:tcBorders>
              <w:top w:val="single" w:sz="6" w:color="D9D9D9"/>
              <w:left w:val="single" w:sz="6" w:color="D9D9D9"/>
              <w:bottom w:val="single" w:sz="6" w:color="D9D9D9"/>
              <w:right w:val="single" w:sz="6" w:color="D9D9D9"/>
            </w:tcBorders>
          </w:tcPr>
          <w:p>
            <w:pPr>
              <w:spacing w:before="40" w:after="40"/>
            </w:pPr>
            <w:r>
              <w:rPr>
                <w:b/>
                <w:color w:val="222222"/>
                <w:sz w:val="19"/>
              </w:rPr>
              <w:t>Angle mort</w:t>
            </w:r>
          </w:p>
        </w:tc>
        <w:tc>
          <w:tcPr>
            <w:tcW w:type="dxa" w:w="3969"/>
            <w:tcBorders>
              <w:top w:val="single" w:sz="6" w:color="D9D9D9"/>
              <w:left w:val="single" w:sz="6" w:color="D9D9D9"/>
              <w:bottom w:val="single" w:sz="6" w:color="D9D9D9"/>
              <w:right w:val="single" w:sz="6" w:color="D9D9D9"/>
            </w:tcBorders>
          </w:tcPr>
          <w:p>
            <w:pPr>
              <w:spacing w:before="40" w:after="40"/>
            </w:pPr>
            <w:r>
              <w:rPr>
                <w:color w:val="222222"/>
                <w:sz w:val="19"/>
              </w:rPr>
              <w:t>Rate les paraphrases ; risque de faux positifs si trop large.</w:t>
            </w:r>
          </w:p>
        </w:tc>
        <w:tc>
          <w:tcPr>
            <w:tcW w:type="dxa" w:w="3969"/>
            <w:tcBorders>
              <w:top w:val="single" w:sz="6" w:color="D9D9D9"/>
              <w:left w:val="single" w:sz="6" w:color="D9D9D9"/>
              <w:bottom w:val="single" w:sz="6" w:color="D9D9D9"/>
              <w:right w:val="single" w:sz="6" w:color="D9D9D9"/>
            </w:tcBorders>
          </w:tcPr>
          <w:p>
            <w:pPr>
              <w:spacing w:before="40" w:after="40"/>
            </w:pPr>
            <w:r>
              <w:rPr>
                <w:color w:val="222222"/>
                <w:sz w:val="19"/>
              </w:rPr>
              <w:t xml:space="preserve">Non déterministe, coûteux, </w:t>
            </w:r>
            <w:r>
              <w:rPr>
                <w:b/>
                <w:color w:val="222222"/>
                <w:sz w:val="19"/>
              </w:rPr>
              <w:t>manipulable</w:t>
            </w:r>
            <w:r>
              <w:rPr>
                <w:color w:val="222222"/>
                <w:sz w:val="19"/>
              </w:rPr>
              <w:t>.</w:t>
            </w:r>
          </w:p>
        </w:tc>
      </w:tr>
      <w:tr>
        <w:tc>
          <w:tcPr>
            <w:tcW w:type="dxa" w:w="1361"/>
            <w:tcBorders>
              <w:top w:val="single" w:sz="6" w:color="D9D9D9"/>
              <w:left w:val="single" w:sz="6" w:color="D9D9D9"/>
              <w:bottom w:val="single" w:sz="6" w:color="D9D9D9"/>
              <w:right w:val="single" w:sz="6" w:color="D9D9D9"/>
            </w:tcBorders>
            <w:shd w:val="clear" w:color="auto" w:fill="F6F8FB"/>
          </w:tcPr>
          <w:p>
            <w:pPr>
              <w:spacing w:before="40" w:after="40"/>
            </w:pPr>
            <w:r>
              <w:rPr>
                <w:b/>
                <w:color w:val="222222"/>
                <w:sz w:val="19"/>
              </w:rPr>
              <w:t>Apporte</w:t>
            </w:r>
          </w:p>
        </w:tc>
        <w:tc>
          <w:tcPr>
            <w:tcW w:type="dxa" w:w="3969"/>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Fait passer les tests, tient en CI.</w:t>
            </w:r>
          </w:p>
        </w:tc>
        <w:tc>
          <w:tcPr>
            <w:tcW w:type="dxa" w:w="3969"/>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Robustesse réelle en production.</w:t>
            </w:r>
          </w:p>
        </w:tc>
      </w:tr>
    </w:tbl>
    <w:p>
      <w:pPr>
        <w:spacing w:after="40"/>
      </w:pPr>
    </w:p>
    <w:p>
      <w:pPr>
        <w:pStyle w:val="Heading2"/>
      </w:pPr>
      <w:r>
        <w:t>Pourquoi la regex est devant, et le LLM derrière</w:t>
      </w:r>
    </w:p>
    <w:p>
      <w:r>
        <w:rPr>
          <w:color w:val="222222"/>
          <w:sz w:val="21"/>
        </w:rPr>
        <w:t>Quatre raisons, à défendre dans cet ordre :</w:t>
      </w:r>
    </w:p>
    <w:p>
      <w:pPr>
        <w:pStyle w:val="ListNumber"/>
        <w:spacing w:after="60"/>
        <w:ind w:left="397" w:hanging="227"/>
      </w:pPr>
      <w:r>
        <w:rPr>
          <w:b/>
          <w:color w:val="222222"/>
          <w:sz w:val="21"/>
        </w:rPr>
        <w:t>Contrainte de test — la raison dominante.</w:t>
      </w:r>
      <w:r>
        <w:rPr>
          <w:color w:val="222222"/>
          <w:sz w:val="21"/>
        </w:rPr>
        <w:t xml:space="preserve"> </w:t>
      </w:r>
      <w:r>
        <w:rPr>
          <w:rFonts w:ascii="Consolas" w:hAnsi="Consolas"/>
          <w:i w:val="0"/>
          <w:color w:val="A31D1D"/>
          <w:sz w:val="19"/>
        </w:rPr>
        <w:t>GuardrailEngine()</w:t>
      </w:r>
      <w:r>
        <w:rPr>
          <w:color w:val="222222"/>
          <w:sz w:val="21"/>
        </w:rPr>
        <w:t xml:space="preserve"> est instancié </w:t>
      </w:r>
      <w:r>
        <w:rPr>
          <w:b/>
          <w:color w:val="222222"/>
          <w:sz w:val="21"/>
        </w:rPr>
        <w:t>sans LLM</w:t>
      </w:r>
      <w:r>
        <w:rPr>
          <w:color w:val="222222"/>
          <w:sz w:val="21"/>
        </w:rPr>
        <w:t xml:space="preserve"> dans </w:t>
      </w:r>
      <w:r>
        <w:rPr>
          <w:rFonts w:ascii="Consolas" w:hAnsi="Consolas"/>
          <w:i w:val="0"/>
          <w:color w:val="A31D1D"/>
          <w:sz w:val="19"/>
        </w:rPr>
        <w:t>conftest.py</w:t>
      </w:r>
      <w:r>
        <w:rPr>
          <w:color w:val="222222"/>
          <w:sz w:val="21"/>
        </w:rPr>
        <w:t xml:space="preserve">, et l'intégration continue tourne en </w:t>
      </w:r>
      <w:r>
        <w:rPr>
          <w:rFonts w:ascii="Consolas" w:hAnsi="Consolas"/>
          <w:i w:val="0"/>
          <w:color w:val="A31D1D"/>
          <w:sz w:val="19"/>
        </w:rPr>
        <w:t>EchoLLM</w:t>
      </w:r>
      <w:r>
        <w:rPr>
          <w:color w:val="222222"/>
          <w:sz w:val="21"/>
        </w:rPr>
        <w:t xml:space="preserve"> hors-ligne. Un LLM-juge ne </w:t>
      </w:r>
      <w:r>
        <w:rPr>
          <w:i/>
          <w:color w:val="222222"/>
          <w:sz w:val="21"/>
        </w:rPr>
        <w:t>peut pas</w:t>
      </w:r>
      <w:r>
        <w:rPr>
          <w:color w:val="222222"/>
          <w:sz w:val="21"/>
        </w:rPr>
        <w:t xml:space="preserve"> faire passer les tests d'acceptance : le socle testé doit donc être déterministe.</w:t>
      </w:r>
    </w:p>
    <w:p>
      <w:pPr>
        <w:pStyle w:val="ListNumber"/>
        <w:spacing w:after="60"/>
        <w:ind w:left="397" w:hanging="227"/>
      </w:pPr>
      <w:r>
        <w:rPr>
          <w:b/>
          <w:color w:val="222222"/>
          <w:sz w:val="21"/>
        </w:rPr>
        <w:t>Déterminisme et auditabilité.</w:t>
      </w:r>
      <w:r>
        <w:rPr>
          <w:color w:val="222222"/>
          <w:sz w:val="21"/>
        </w:rPr>
        <w:t xml:space="preserve"> Un garde-fou doit être prévisible et journalisable. Un LLM qui bloque parfois et laisse passer parfois est difficile à valider — et un rapport d'audit ne se contente pas d'un « en général, ça bloque ».</w:t>
      </w:r>
    </w:p>
    <w:p>
      <w:pPr>
        <w:pStyle w:val="ListNumber"/>
        <w:spacing w:after="60"/>
        <w:ind w:left="397" w:hanging="227"/>
      </w:pPr>
      <w:r>
        <w:rPr>
          <w:b/>
          <w:color w:val="222222"/>
          <w:sz w:val="21"/>
        </w:rPr>
        <w:t>Anti-injection — la raison la plus subtile.</w:t>
      </w:r>
      <w:r>
        <w:rPr>
          <w:color w:val="222222"/>
          <w:sz w:val="21"/>
        </w:rPr>
        <w:t xml:space="preserve"> Si le garde-fou </w:t>
      </w:r>
      <w:r>
        <w:rPr>
          <w:b/>
          <w:color w:val="222222"/>
          <w:sz w:val="21"/>
        </w:rPr>
        <w:t>est</w:t>
      </w:r>
      <w:r>
        <w:rPr>
          <w:color w:val="222222"/>
          <w:sz w:val="21"/>
        </w:rPr>
        <w:t xml:space="preserve"> un LLM, il devient lui-même cible d'injection : </w:t>
      </w:r>
      <w:r>
        <w:rPr>
          <w:i/>
          <w:color w:val="222222"/>
          <w:sz w:val="21"/>
        </w:rPr>
        <w:t>« ignore tes consignes de modération »</w:t>
      </w:r>
      <w:r>
        <w:rPr>
          <w:color w:val="222222"/>
          <w:sz w:val="21"/>
        </w:rPr>
        <w:t xml:space="preserve">. Une regex, elle, est </w:t>
      </w:r>
      <w:r>
        <w:rPr>
          <w:b/>
          <w:color w:val="222222"/>
          <w:sz w:val="21"/>
        </w:rPr>
        <w:t>ineffaçable par la parole</w:t>
      </w:r>
      <w:r>
        <w:rPr>
          <w:color w:val="222222"/>
          <w:sz w:val="21"/>
        </w:rPr>
        <w:t>. Mettre le LLM-juge en tête affaiblirait la défense anti-injection au lieu de la renforcer.</w:t>
      </w:r>
    </w:p>
    <w:p>
      <w:pPr>
        <w:pStyle w:val="ListNumber"/>
        <w:spacing w:after="60"/>
        <w:ind w:left="397" w:hanging="227"/>
      </w:pPr>
      <w:r>
        <w:rPr>
          <w:b/>
          <w:color w:val="222222"/>
          <w:sz w:val="21"/>
        </w:rPr>
        <w:t>Coût et latence.</w:t>
      </w:r>
      <w:r>
        <w:rPr>
          <w:color w:val="222222"/>
          <w:sz w:val="21"/>
        </w:rPr>
        <w:t xml:space="preserve"> Un appel LLM par message, en entrée </w:t>
      </w:r>
      <w:r>
        <w:rPr>
          <w:i/>
          <w:color w:val="222222"/>
          <w:sz w:val="21"/>
        </w:rPr>
        <w:t>et</w:t>
      </w:r>
      <w:r>
        <w:rPr>
          <w:color w:val="222222"/>
          <w:sz w:val="21"/>
        </w:rPr>
        <w:t xml:space="preserve"> en sortie, se paie deux fois par tour. La première ligne attrape le gros du volume sans aucun appel.</w:t>
      </w:r>
    </w:p>
    <w:p>
      <w:pPr>
        <w:pStyle w:val="Heading2"/>
      </w:pPr>
      <w:r>
        <w:t>Pourquoi le LLM-juge n'est pas optionnel pour autant</w:t>
      </w:r>
    </w:p>
    <w:p>
      <w:r>
        <w:rPr>
          <w:color w:val="222222"/>
          <w:sz w:val="21"/>
        </w:rPr>
        <w:t xml:space="preserve">C'est l'autre moitié de l'honnêteté d'ingénierie. Pour la </w:t>
      </w:r>
      <w:r>
        <w:rPr>
          <w:b/>
          <w:color w:val="222222"/>
          <w:sz w:val="21"/>
        </w:rPr>
        <w:t>toxicité paraphrasée</w:t>
      </w:r>
      <w:r>
        <w:rPr>
          <w:color w:val="222222"/>
          <w:sz w:val="21"/>
        </w:rPr>
        <w:t xml:space="preserve"> et le </w:t>
      </w:r>
      <w:r>
        <w:rPr>
          <w:b/>
          <w:color w:val="222222"/>
          <w:sz w:val="21"/>
        </w:rPr>
        <w:t>hors-périmètre inédit</w:t>
      </w:r>
      <w:r>
        <w:rPr>
          <w:color w:val="222222"/>
          <w:sz w:val="21"/>
        </w:rPr>
        <w:t xml:space="preserve">, les regex ont un </w:t>
      </w:r>
      <w:r>
        <w:rPr>
          <w:b/>
          <w:color w:val="222222"/>
          <w:sz w:val="21"/>
        </w:rPr>
        <w:t>vrai trou</w:t>
      </w:r>
      <w:r>
        <w:rPr>
          <w:color w:val="222222"/>
          <w:sz w:val="21"/>
        </w:rPr>
        <w:t xml:space="preserve"> : un message hostile reformulé pour éviter la liste de mots-clés passe. Là, la deuxième ligne n'est pas un confort — c'est le seul mécanisme qui capte l'intention.</w:t>
      </w:r>
    </w:p>
    <w:tbl>
      <w:tblPr>
        <w:tblW w:type="auto" w:w="0"/>
        <w:jc w:val="center"/>
        <w:tblLayout w:type="fixed"/>
        <w:tblLook w:firstColumn="1" w:firstRow="1" w:lastColumn="0" w:lastRow="0" w:noHBand="0" w:noVBand="1" w:val="04A0"/>
      </w:tblPr>
      <w:tblGrid>
        <w:gridCol w:w="9298"/>
      </w:tblGrid>
      <w:tr>
        <w:tc>
          <w:tcPr>
            <w:tcW w:type="dxa" w:w="9298"/>
            <w:tcBorders>
              <w:top w:val="single" w:sz="4" w:color="F2F5F9"/>
              <w:left w:val="single" w:sz="18" w:color="2E5C8A"/>
              <w:bottom w:val="single" w:sz="4" w:color="F2F5F9"/>
              <w:right w:val="single" w:sz="4" w:color="F2F5F9"/>
            </w:tcBorders>
            <w:shd w:val="clear" w:color="auto" w:fill="F2F5F9"/>
          </w:tcPr>
          <w:p>
            <w:pPr>
              <w:spacing w:before="80" w:after="40"/>
            </w:pPr>
            <w:r>
              <w:rPr>
                <w:rFonts w:ascii="Calibri" w:hAnsi="Calibri"/>
                <w:b/>
                <w:color w:val="2E5C8A"/>
                <w:sz w:val="17"/>
              </w:rPr>
              <w:t>LA FORMULE À RETENIR</w:t>
            </w:r>
          </w:p>
          <w:p>
            <w:pPr>
              <w:spacing w:after="100"/>
            </w:pPr>
            <w:r>
              <w:rPr>
                <w:b/>
                <w:color w:val="222222"/>
                <w:sz w:val="20"/>
              </w:rPr>
              <w:t>La première ligne bloque tôt le cas net et fait passer les tests. La deuxième rattrape le cas subtil que la regex ne voit pas — mais comme elle est manipulable et non déterministe, elle n'est jamais seule, et jamais devant.</w:t>
            </w:r>
            <w:r>
              <w:rPr>
                <w:color w:val="222222"/>
                <w:sz w:val="20"/>
              </w:rPr>
              <w:t xml:space="preserve"> Défense en profondeur, pas hiérarchie.</w:t>
            </w:r>
          </w:p>
        </w:tc>
      </w:tr>
    </w:tbl>
    <w:p>
      <w:pPr>
        <w:spacing w:after="40"/>
      </w:pPr>
    </w:p>
    <w:p>
      <w:pPr>
        <w:pStyle w:val="Heading2"/>
      </w:pPr>
      <w:r>
        <w:t>Le principe qui tient tout l'édifice</w:t>
      </w:r>
    </w:p>
    <w:p>
      <w:r>
        <w:rPr>
          <w:color w:val="222222"/>
          <w:sz w:val="21"/>
        </w:rPr>
        <w:t xml:space="preserve">Ce raisonnement à deux lignes n'est qu'un cas particulier d'un principe appliqué partout dans Velmo 2.0 : </w:t>
      </w:r>
      <w:r>
        <w:rPr>
          <w:b/>
          <w:color w:val="222222"/>
          <w:sz w:val="21"/>
        </w:rPr>
        <w:t>règles pour la fiabilité, LLM pour la souplesse — et jamais le LLM seul aux commandes.</w:t>
      </w:r>
    </w:p>
    <w:tbl>
      <w:tblPr>
        <w:tblW w:type="auto" w:w="0"/>
        <w:jc w:val="center"/>
        <w:tblLayout w:type="fixed"/>
        <w:tblLook w:firstColumn="1" w:firstRow="1" w:lastColumn="0" w:lastRow="0" w:noHBand="0" w:noVBand="1" w:val="04A0"/>
      </w:tblPr>
      <w:tblGrid>
        <w:gridCol w:w="3099"/>
        <w:gridCol w:w="3099"/>
        <w:gridCol w:w="3099"/>
      </w:tblGrid>
      <w:tr>
        <w:tc>
          <w:tcPr>
            <w:tcW w:type="dxa" w:w="1814"/>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Chantier</w:t>
            </w:r>
          </w:p>
        </w:tc>
        <w:tc>
          <w:tcPr>
            <w:tcW w:type="dxa" w:w="3742"/>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1re ligne — déterministe</w:t>
            </w:r>
          </w:p>
        </w:tc>
        <w:tc>
          <w:tcPr>
            <w:tcW w:type="dxa" w:w="3742"/>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2e ligne — LLM</w:t>
            </w:r>
          </w:p>
        </w:tc>
      </w:tr>
      <w:tr>
        <w:tc>
          <w:tcPr>
            <w:tcW w:type="dxa" w:w="1814"/>
            <w:tcBorders>
              <w:top w:val="single" w:sz="6" w:color="D9D9D9"/>
              <w:left w:val="single" w:sz="6" w:color="D9D9D9"/>
              <w:bottom w:val="single" w:sz="6" w:color="D9D9D9"/>
              <w:right w:val="single" w:sz="6" w:color="D9D9D9"/>
            </w:tcBorders>
          </w:tcPr>
          <w:p>
            <w:pPr>
              <w:spacing w:before="40" w:after="40"/>
            </w:pPr>
            <w:r>
              <w:rPr>
                <w:color w:val="222222"/>
                <w:sz w:val="19"/>
              </w:rPr>
              <w:t>Garde-fous</w:t>
            </w:r>
          </w:p>
        </w:tc>
        <w:tc>
          <w:tcPr>
            <w:tcW w:type="dxa" w:w="3742"/>
            <w:tcBorders>
              <w:top w:val="single" w:sz="6" w:color="D9D9D9"/>
              <w:left w:val="single" w:sz="6" w:color="D9D9D9"/>
              <w:bottom w:val="single" w:sz="6" w:color="D9D9D9"/>
              <w:right w:val="single" w:sz="6" w:color="D9D9D9"/>
            </w:tcBorders>
          </w:tcPr>
          <w:p>
            <w:pPr>
              <w:spacing w:before="40" w:after="40"/>
            </w:pPr>
            <w:r>
              <w:rPr>
                <w:color w:val="222222"/>
                <w:sz w:val="19"/>
              </w:rPr>
              <w:t>Regex et mots-clés (§5, §6)</w:t>
            </w:r>
          </w:p>
        </w:tc>
        <w:tc>
          <w:tcPr>
            <w:tcW w:type="dxa" w:w="3742"/>
            <w:tcBorders>
              <w:top w:val="single" w:sz="6" w:color="D9D9D9"/>
              <w:left w:val="single" w:sz="6" w:color="D9D9D9"/>
              <w:bottom w:val="single" w:sz="6" w:color="D9D9D9"/>
              <w:right w:val="single" w:sz="6" w:color="D9D9D9"/>
            </w:tcBorders>
          </w:tcPr>
          <w:p>
            <w:pPr>
              <w:spacing w:before="40" w:after="40"/>
            </w:pPr>
            <w:r>
              <w:rPr>
                <w:color w:val="222222"/>
                <w:sz w:val="19"/>
              </w:rPr>
              <w:t xml:space="preserve">LLM-juge injecté via le crochet </w:t>
            </w:r>
            <w:r>
              <w:rPr>
                <w:rFonts w:ascii="Consolas" w:hAnsi="Consolas"/>
                <w:i w:val="0"/>
                <w:color w:val="A31D1D"/>
                <w:sz w:val="17"/>
              </w:rPr>
              <w:t>moderator</w:t>
            </w:r>
          </w:p>
        </w:tc>
      </w:tr>
      <w:tr>
        <w:tc>
          <w:tcPr>
            <w:tcW w:type="dxa" w:w="1814"/>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Écriture mémoire</w:t>
            </w:r>
          </w:p>
        </w:tc>
        <w:tc>
          <w:tcPr>
            <w:tcW w:type="dxa" w:w="3742"/>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Règles d'extraction de faits (motifs clairs)</w:t>
            </w:r>
          </w:p>
        </w:tc>
        <w:tc>
          <w:tcPr>
            <w:tcW w:type="dxa" w:w="3742"/>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 xml:space="preserve">Extraction LLM en JSON </w:t>
            </w:r>
            <w:r>
              <w:rPr>
                <w:rFonts w:ascii="Consolas" w:hAnsi="Consolas"/>
                <w:i w:val="0"/>
                <w:color w:val="A31D1D"/>
                <w:sz w:val="17"/>
              </w:rPr>
              <w:t>{type, value}</w:t>
            </w:r>
            <w:r>
              <w:rPr>
                <w:color w:val="222222"/>
                <w:sz w:val="19"/>
              </w:rPr>
              <w:t xml:space="preserve">, </w:t>
            </w:r>
            <w:r>
              <w:rPr>
                <w:rFonts w:ascii="Consolas" w:hAnsi="Consolas"/>
                <w:i w:val="0"/>
                <w:color w:val="A31D1D"/>
                <w:sz w:val="17"/>
              </w:rPr>
              <w:t>confidence = moyen</w:t>
            </w:r>
          </w:p>
        </w:tc>
      </w:tr>
      <w:tr>
        <w:tc>
          <w:tcPr>
            <w:tcW w:type="dxa" w:w="1814"/>
            <w:tcBorders>
              <w:top w:val="single" w:sz="6" w:color="D9D9D9"/>
              <w:left w:val="single" w:sz="6" w:color="D9D9D9"/>
              <w:bottom w:val="single" w:sz="6" w:color="D9D9D9"/>
              <w:right w:val="single" w:sz="6" w:color="D9D9D9"/>
            </w:tcBorders>
          </w:tcPr>
          <w:p>
            <w:pPr>
              <w:spacing w:before="40" w:after="40"/>
            </w:pPr>
            <w:r>
              <w:rPr>
                <w:color w:val="222222"/>
                <w:sz w:val="19"/>
              </w:rPr>
              <w:t>Droit à l'oubli</w:t>
            </w:r>
          </w:p>
        </w:tc>
        <w:tc>
          <w:tcPr>
            <w:tcW w:type="dxa" w:w="3742"/>
            <w:tcBorders>
              <w:top w:val="single" w:sz="6" w:color="D9D9D9"/>
              <w:left w:val="single" w:sz="6" w:color="D9D9D9"/>
              <w:bottom w:val="single" w:sz="6" w:color="D9D9D9"/>
              <w:right w:val="single" w:sz="6" w:color="D9D9D9"/>
            </w:tcBorders>
          </w:tcPr>
          <w:p>
            <w:pPr>
              <w:spacing w:before="40" w:after="40"/>
            </w:pPr>
            <w:r>
              <w:rPr>
                <w:rFonts w:ascii="Consolas" w:hAnsi="Consolas"/>
                <w:i w:val="0"/>
                <w:color w:val="A31D1D"/>
                <w:sz w:val="17"/>
              </w:rPr>
              <w:t>DELETE … WHERE user_id AND type</w:t>
            </w:r>
          </w:p>
        </w:tc>
        <w:tc>
          <w:tcPr>
            <w:tcW w:type="dxa" w:w="3742"/>
            <w:tcBorders>
              <w:top w:val="single" w:sz="6" w:color="D9D9D9"/>
              <w:left w:val="single" w:sz="6" w:color="D9D9D9"/>
              <w:bottom w:val="single" w:sz="6" w:color="D9D9D9"/>
              <w:right w:val="single" w:sz="6" w:color="D9D9D9"/>
            </w:tcBorders>
          </w:tcPr>
          <w:p>
            <w:pPr>
              <w:spacing w:before="40" w:after="40"/>
            </w:pPr>
            <w:r>
              <w:rPr>
                <w:color w:val="222222"/>
                <w:sz w:val="19"/>
              </w:rPr>
              <w:t>Détection de l'intention et du type visé</w:t>
            </w:r>
          </w:p>
        </w:tc>
      </w:tr>
    </w:tbl>
    <w:p>
      <w:pPr>
        <w:spacing w:after="40"/>
      </w:pPr>
    </w:p>
    <w:p>
      <w:r>
        <w:rPr>
          <w:color w:val="222222"/>
          <w:sz w:val="21"/>
        </w:rPr>
        <w:t xml:space="preserve">La colonne du milieu est </w:t>
      </w:r>
      <w:r>
        <w:rPr>
          <w:b/>
          <w:color w:val="222222"/>
          <w:sz w:val="21"/>
        </w:rPr>
        <w:t>ce qui est testé et démontré</w:t>
      </w:r>
      <w:r>
        <w:rPr>
          <w:color w:val="222222"/>
          <w:sz w:val="21"/>
        </w:rPr>
        <w:t xml:space="preserve">. La colonne de droite est </w:t>
      </w:r>
      <w:r>
        <w:rPr>
          <w:b/>
          <w:color w:val="222222"/>
          <w:sz w:val="21"/>
        </w:rPr>
        <w:t>ce qui rend le système utilisable en vrai</w:t>
      </w:r>
      <w:r>
        <w:rPr>
          <w:color w:val="222222"/>
          <w:sz w:val="21"/>
        </w:rPr>
        <w:t>. Confondre les deux — soit en ne livrant que des regex, soit en confiant la sécurité au modèle — serait une erreur d'ingénierie dans les deux sens.</w:t>
      </w:r>
    </w:p>
    <w:p>
      <w:pPr>
        <w:pStyle w:val="Heading2"/>
      </w:pPr>
      <w:r>
        <w:t>Les cinq couches anti-injection, en synthèse</w:t>
      </w:r>
    </w:p>
    <w:p>
      <w:pPr>
        <w:pStyle w:val="ListNumber"/>
        <w:spacing w:after="60"/>
        <w:ind w:left="397" w:hanging="227"/>
      </w:pPr>
      <w:r>
        <w:rPr>
          <w:b/>
          <w:color w:val="222222"/>
          <w:sz w:val="21"/>
        </w:rPr>
        <w:t>Garde-fou d'entrée</w:t>
      </w:r>
      <w:r>
        <w:rPr>
          <w:color w:val="222222"/>
          <w:sz w:val="21"/>
        </w:rPr>
        <w:t xml:space="preserve"> — les motifs d'injection sont bloqués </w:t>
      </w:r>
      <w:r>
        <w:rPr>
          <w:b/>
          <w:color w:val="222222"/>
          <w:sz w:val="21"/>
        </w:rPr>
        <w:t>avant</w:t>
      </w:r>
      <w:r>
        <w:rPr>
          <w:color w:val="222222"/>
          <w:sz w:val="21"/>
        </w:rPr>
        <w:t xml:space="preserve"> le LLM (§5).</w:t>
      </w:r>
    </w:p>
    <w:p>
      <w:pPr>
        <w:pStyle w:val="ListNumber"/>
        <w:spacing w:after="60"/>
        <w:ind w:left="397" w:hanging="227"/>
      </w:pPr>
      <w:r>
        <w:rPr>
          <w:b/>
          <w:color w:val="222222"/>
          <w:sz w:val="21"/>
        </w:rPr>
        <w:t>Séparation des rôles</w:t>
      </w:r>
      <w:r>
        <w:rPr>
          <w:color w:val="222222"/>
          <w:sz w:val="21"/>
        </w:rPr>
        <w:t xml:space="preserve"> — le prompt système pose nos règles ; le message client est traité comme </w:t>
      </w:r>
      <w:r>
        <w:rPr>
          <w:b/>
          <w:color w:val="222222"/>
          <w:sz w:val="21"/>
        </w:rPr>
        <w:t>donnée</w:t>
      </w:r>
      <w:r>
        <w:rPr>
          <w:color w:val="222222"/>
          <w:sz w:val="21"/>
        </w:rPr>
        <w:t>, jamais comme une instruction qui les écrase.</w:t>
      </w:r>
    </w:p>
    <w:p>
      <w:pPr>
        <w:pStyle w:val="ListNumber"/>
        <w:spacing w:after="60"/>
        <w:ind w:left="397" w:hanging="227"/>
      </w:pPr>
      <w:r>
        <w:rPr>
          <w:b/>
          <w:color w:val="222222"/>
          <w:sz w:val="21"/>
        </w:rPr>
        <w:t>Garde-fou de sortie</w:t>
      </w:r>
      <w:r>
        <w:rPr>
          <w:color w:val="222222"/>
          <w:sz w:val="21"/>
        </w:rPr>
        <w:t xml:space="preserve"> — si l'injection a fait dériver le modèle, sa production est re-filtrée (§6).</w:t>
      </w:r>
    </w:p>
    <w:p>
      <w:pPr>
        <w:pStyle w:val="ListNumber"/>
        <w:spacing w:after="60"/>
        <w:ind w:left="397" w:hanging="227"/>
      </w:pPr>
      <w:r>
        <w:rPr>
          <w:b/>
          <w:color w:val="222222"/>
          <w:sz w:val="21"/>
        </w:rPr>
        <w:t>Modérateur isolé</w:t>
      </w:r>
      <w:r>
        <w:rPr>
          <w:color w:val="222222"/>
          <w:sz w:val="21"/>
        </w:rPr>
        <w:t xml:space="preserve"> — le LLM-juge reçoit le message comme </w:t>
      </w:r>
      <w:r>
        <w:rPr>
          <w:b/>
          <w:color w:val="222222"/>
          <w:sz w:val="21"/>
        </w:rPr>
        <w:t>texte à classer</w:t>
      </w:r>
      <w:r>
        <w:rPr>
          <w:color w:val="222222"/>
          <w:sz w:val="21"/>
        </w:rPr>
        <w:t>, avec sa propre consigne : l'injection ne lui donne pas d'ordres.</w:t>
      </w:r>
    </w:p>
    <w:p>
      <w:pPr>
        <w:pStyle w:val="ListNumber"/>
        <w:spacing w:after="60"/>
        <w:ind w:left="397" w:hanging="227"/>
      </w:pPr>
      <w:r>
        <w:rPr>
          <w:b/>
          <w:color w:val="222222"/>
          <w:sz w:val="21"/>
        </w:rPr>
        <w:t>Le prompt système n'est jamais révélé</w:t>
      </w:r>
      <w:r>
        <w:rPr>
          <w:color w:val="222222"/>
          <w:sz w:val="21"/>
        </w:rPr>
        <w:t xml:space="preserve"> — c'est la catégorie </w:t>
      </w:r>
      <w:r>
        <w:rPr>
          <w:rFonts w:ascii="Consolas" w:hAnsi="Consolas"/>
          <w:i w:val="0"/>
          <w:color w:val="A31D1D"/>
          <w:sz w:val="19"/>
        </w:rPr>
        <w:t>secret_leak</w:t>
      </w:r>
      <w:r>
        <w:rPr>
          <w:color w:val="222222"/>
          <w:sz w:val="21"/>
        </w:rPr>
        <w:t>.</w:t>
      </w:r>
    </w:p>
    <w:p>
      <w:r>
        <w:rPr>
          <w:b/>
          <w:color w:val="222222"/>
          <w:sz w:val="21"/>
        </w:rPr>
        <w:t>La phrase qui résume l'architecture de sécurité :</w:t>
      </w:r>
      <w:r>
        <w:rPr>
          <w:color w:val="222222"/>
          <w:sz w:val="21"/>
        </w:rPr>
        <w:t xml:space="preserve"> </w:t>
      </w:r>
      <w:r>
        <w:rPr>
          <w:i/>
          <w:color w:val="222222"/>
          <w:sz w:val="21"/>
        </w:rPr>
        <w:t>on ne demande pas poliment au modèle de se surveiller — on l'encadre par du code qu'aucun message ne peut éteindre.</w:t>
      </w:r>
    </w:p>
    <w:p>
      <w:r>
        <w:br w:type="page"/>
      </w:r>
    </w:p>
    <w:p>
      <w:pPr>
        <w:pStyle w:val="Heading1"/>
      </w:pPr>
      <w:r>
        <w:t>Synthèse — ce que les sept schémas démontrent ensemble</w:t>
      </w:r>
    </w:p>
    <w:p>
      <w:r>
        <w:rPr>
          <w:color w:val="222222"/>
          <w:sz w:val="21"/>
        </w:rPr>
        <w:t>Pris isolément, chaque schéma répond à une question. Pris ensemble, ils racontent trois décisions structurantes, chacune visible dans plusieurs figures à la fois.</w:t>
      </w:r>
    </w:p>
    <w:p>
      <w:pPr>
        <w:pStyle w:val="Heading2"/>
      </w:pPr>
      <w:r>
        <w:t>1. Le LLM est encadré, jamais en position d'autorité</w:t>
      </w:r>
    </w:p>
    <w:p>
      <w:r>
        <w:rPr>
          <w:color w:val="222222"/>
          <w:sz w:val="21"/>
        </w:rPr>
        <w:t>Il est enfermé entre deux garde-fous (§1), il n'apparaît pas du tout dans la branche « message bloqué » (§4), et sa version « juge » est placée en deuxième ligne, derrière du code déterministe (§5, §6, §7). Partout, la décision finale appartient à du code — jamais au modèle.</w:t>
      </w:r>
    </w:p>
    <w:p>
      <w:pPr>
        <w:pStyle w:val="Heading2"/>
      </w:pPr>
      <w:r>
        <w:t>2. Ce qui doit être vérifiable vit en relationnel</w:t>
      </w:r>
    </w:p>
    <w:p>
      <w:r>
        <w:rPr>
          <w:color w:val="222222"/>
          <w:sz w:val="21"/>
        </w:rPr>
        <w:t xml:space="preserve">Les faits durables, les messages, les blocages journalisés : tout ce qui doit être </w:t>
      </w:r>
      <w:r>
        <w:rPr>
          <w:b/>
          <w:color w:val="222222"/>
          <w:sz w:val="21"/>
        </w:rPr>
        <w:t>inspecté</w:t>
      </w:r>
      <w:r>
        <w:rPr>
          <w:color w:val="222222"/>
          <w:sz w:val="21"/>
        </w:rPr>
        <w:t xml:space="preserve"> (</w:t>
      </w:r>
      <w:r>
        <w:rPr>
          <w:b/>
          <w:color w:val="222222"/>
          <w:sz w:val="21"/>
        </w:rPr>
        <w:t>R6</w:t>
      </w:r>
      <w:r>
        <w:rPr>
          <w:color w:val="222222"/>
          <w:sz w:val="21"/>
        </w:rPr>
        <w:t xml:space="preserve">), </w:t>
      </w:r>
      <w:r>
        <w:rPr>
          <w:b/>
          <w:color w:val="222222"/>
          <w:sz w:val="21"/>
        </w:rPr>
        <w:t>mis à jour</w:t>
      </w:r>
      <w:r>
        <w:rPr>
          <w:color w:val="222222"/>
          <w:sz w:val="21"/>
        </w:rPr>
        <w:t xml:space="preserve"> (</w:t>
      </w:r>
      <w:r>
        <w:rPr>
          <w:rFonts w:ascii="Consolas" w:hAnsi="Consolas"/>
          <w:i w:val="0"/>
          <w:color w:val="A31D1D"/>
          <w:sz w:val="19"/>
        </w:rPr>
        <w:t>statut</w:t>
      </w:r>
      <w:r>
        <w:rPr>
          <w:color w:val="222222"/>
          <w:sz w:val="21"/>
        </w:rPr>
        <w:t xml:space="preserve">), </w:t>
      </w:r>
      <w:r>
        <w:rPr>
          <w:b/>
          <w:color w:val="222222"/>
          <w:sz w:val="21"/>
        </w:rPr>
        <w:t>supprimé de façon prouvable</w:t>
      </w:r>
      <w:r>
        <w:rPr>
          <w:color w:val="222222"/>
          <w:sz w:val="21"/>
        </w:rPr>
        <w:t xml:space="preserve"> (</w:t>
      </w:r>
      <w:r>
        <w:rPr>
          <w:b/>
          <w:color w:val="222222"/>
          <w:sz w:val="21"/>
        </w:rPr>
        <w:t>R5</w:t>
      </w:r>
      <w:r>
        <w:rPr>
          <w:color w:val="222222"/>
          <w:sz w:val="21"/>
        </w:rPr>
        <w:t xml:space="preserve">) et </w:t>
      </w:r>
      <w:r>
        <w:rPr>
          <w:b/>
          <w:color w:val="222222"/>
          <w:sz w:val="21"/>
        </w:rPr>
        <w:t>isolé par utilisateur</w:t>
      </w:r>
      <w:r>
        <w:rPr>
          <w:color w:val="222222"/>
          <w:sz w:val="21"/>
        </w:rPr>
        <w:t xml:space="preserve"> (</w:t>
      </w:r>
      <w:r>
        <w:rPr>
          <w:b/>
          <w:color w:val="222222"/>
          <w:sz w:val="21"/>
        </w:rPr>
        <w:t>R3</w:t>
      </w:r>
      <w:r>
        <w:rPr>
          <w:color w:val="222222"/>
          <w:sz w:val="21"/>
        </w:rPr>
        <w:t>) vit dans des tables (§2, §3). Le vectoriel est réservé à ce qui se cherche par le sens.</w:t>
      </w:r>
    </w:p>
    <w:p>
      <w:pPr>
        <w:pStyle w:val="Heading2"/>
      </w:pPr>
      <w:r>
        <w:t>3. Chaque mécanisme a deux niveaux — l'un testé, l'autre robuste</w:t>
      </w:r>
    </w:p>
    <w:p>
      <w:r>
        <w:rPr>
          <w:color w:val="222222"/>
          <w:sz w:val="21"/>
        </w:rPr>
        <w:t xml:space="preserve">Règles puis LLM en écriture mémoire ; regex puis LLM-juge en garde-fou (§7). Le premier niveau est déterministe et démontré par la CI ; le second apporte la robustesse de production. Les schémas signalent explicitement où passe la frontière entre les deux — c'est ce qui permet de dire, sans ambiguïté, ce qui est </w:t>
      </w:r>
      <w:r>
        <w:rPr>
          <w:b/>
          <w:color w:val="222222"/>
          <w:sz w:val="21"/>
        </w:rPr>
        <w:t>prouvé</w:t>
      </w:r>
      <w:r>
        <w:rPr>
          <w:color w:val="222222"/>
          <w:sz w:val="21"/>
        </w:rPr>
        <w:t xml:space="preserve"> et ce qui est </w:t>
      </w:r>
      <w:r>
        <w:rPr>
          <w:b/>
          <w:color w:val="222222"/>
          <w:sz w:val="21"/>
        </w:rPr>
        <w:t>conçu</w:t>
      </w:r>
      <w:r>
        <w:rPr>
          <w:color w:val="222222"/>
          <w:sz w:val="21"/>
        </w:rPr>
        <w:t>.</w:t>
      </w:r>
    </w:p>
    <w:p>
      <w:pPr>
        <w:pStyle w:val="Heading2"/>
      </w:pPr>
      <w:r>
        <w:t>Les écarts assumés, rassemblés</w:t>
      </w:r>
    </w:p>
    <w:tbl>
      <w:tblPr>
        <w:tblW w:type="auto" w:w="0"/>
        <w:jc w:val="center"/>
        <w:tblLayout w:type="fixed"/>
        <w:tblLook w:firstColumn="1" w:firstRow="1" w:lastColumn="0" w:lastRow="0" w:noHBand="0" w:noVBand="1" w:val="04A0"/>
      </w:tblPr>
      <w:tblGrid>
        <w:gridCol w:w="3099"/>
        <w:gridCol w:w="3099"/>
        <w:gridCol w:w="3099"/>
      </w:tblGrid>
      <w:tr>
        <w:tc>
          <w:tcPr>
            <w:tcW w:type="dxa" w:w="3061"/>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Écart</w:t>
            </w:r>
          </w:p>
        </w:tc>
        <w:tc>
          <w:tcPr>
            <w:tcW w:type="dxa" w:w="1587"/>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Où il apparaît</w:t>
            </w:r>
          </w:p>
        </w:tc>
        <w:tc>
          <w:tcPr>
            <w:tcW w:type="dxa" w:w="4649"/>
            <w:tcBorders>
              <w:top w:val="single" w:sz="6" w:color="1F3364"/>
              <w:left w:val="single" w:sz="6" w:color="1F3364"/>
              <w:bottom w:val="single" w:sz="6" w:color="1F3364"/>
              <w:right w:val="single" w:sz="6" w:color="1F3364"/>
            </w:tcBorders>
            <w:shd w:val="clear" w:color="auto" w:fill="1F3364"/>
          </w:tcPr>
          <w:p>
            <w:pPr>
              <w:spacing w:before="40" w:after="40"/>
            </w:pPr>
            <w:r>
              <w:rPr>
                <w:b/>
                <w:color w:val="FFFFFF"/>
                <w:sz w:val="19"/>
              </w:rPr>
              <w:t>Décision</w:t>
            </w:r>
          </w:p>
        </w:tc>
      </w:tr>
      <w:tr>
        <w:tc>
          <w:tcPr>
            <w:tcW w:type="dxa" w:w="3061"/>
            <w:tcBorders>
              <w:top w:val="single" w:sz="6" w:color="D9D9D9"/>
              <w:left w:val="single" w:sz="6" w:color="D9D9D9"/>
              <w:bottom w:val="single" w:sz="6" w:color="D9D9D9"/>
              <w:right w:val="single" w:sz="6" w:color="D9D9D9"/>
            </w:tcBorders>
          </w:tcPr>
          <w:p>
            <w:pPr>
              <w:spacing w:before="40" w:after="40"/>
            </w:pPr>
            <w:r>
              <w:rPr>
                <w:rFonts w:ascii="Consolas" w:hAnsi="Consolas"/>
                <w:i w:val="0"/>
                <w:color w:val="A31D1D"/>
                <w:sz w:val="17"/>
              </w:rPr>
              <w:t>MemoryContext</w:t>
            </w:r>
            <w:r>
              <w:rPr>
                <w:color w:val="222222"/>
                <w:sz w:val="19"/>
              </w:rPr>
              <w:t xml:space="preserve"> lu mais non injecté dans le prompt LLM</w:t>
            </w:r>
          </w:p>
        </w:tc>
        <w:tc>
          <w:tcPr>
            <w:tcW w:type="dxa" w:w="1587"/>
            <w:tcBorders>
              <w:top w:val="single" w:sz="6" w:color="D9D9D9"/>
              <w:left w:val="single" w:sz="6" w:color="D9D9D9"/>
              <w:bottom w:val="single" w:sz="6" w:color="D9D9D9"/>
              <w:right w:val="single" w:sz="6" w:color="D9D9D9"/>
            </w:tcBorders>
          </w:tcPr>
          <w:p>
            <w:pPr>
              <w:spacing w:before="40" w:after="40"/>
            </w:pPr>
            <w:r>
              <w:rPr>
                <w:color w:val="222222"/>
                <w:sz w:val="19"/>
              </w:rPr>
              <w:t>§1, §4</w:t>
            </w:r>
          </w:p>
        </w:tc>
        <w:tc>
          <w:tcPr>
            <w:tcW w:type="dxa" w:w="4649"/>
            <w:tcBorders>
              <w:top w:val="single" w:sz="6" w:color="D9D9D9"/>
              <w:left w:val="single" w:sz="6" w:color="D9D9D9"/>
              <w:bottom w:val="single" w:sz="6" w:color="D9D9D9"/>
              <w:right w:val="single" w:sz="6" w:color="D9D9D9"/>
            </w:tcBorders>
          </w:tcPr>
          <w:p>
            <w:pPr>
              <w:spacing w:before="40" w:after="40"/>
            </w:pPr>
            <w:r>
              <w:rPr>
                <w:color w:val="222222"/>
                <w:sz w:val="19"/>
              </w:rPr>
              <w:t>Signalé explicitement dans les schémas ; le chaînon existe, il reste à brancher.</w:t>
            </w:r>
          </w:p>
        </w:tc>
      </w:tr>
      <w:tr>
        <w:tc>
          <w:tcPr>
            <w:tcW w:type="dxa" w:w="3061"/>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 xml:space="preserve">Magasin vectoriel </w:t>
            </w:r>
            <w:r>
              <w:rPr>
                <w:rFonts w:ascii="Consolas" w:hAnsi="Consolas"/>
                <w:i w:val="0"/>
                <w:color w:val="A31D1D"/>
                <w:sz w:val="17"/>
              </w:rPr>
              <w:t>episodes</w:t>
            </w:r>
            <w:r>
              <w:rPr>
                <w:color w:val="222222"/>
                <w:sz w:val="19"/>
              </w:rPr>
              <w:t xml:space="preserve"> conçu, non construit</w:t>
            </w:r>
          </w:p>
        </w:tc>
        <w:tc>
          <w:tcPr>
            <w:tcW w:type="dxa" w:w="1587"/>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§1, §2, §3</w:t>
            </w:r>
          </w:p>
        </w:tc>
        <w:tc>
          <w:tcPr>
            <w:tcW w:type="dxa" w:w="4649"/>
            <w:tcBorders>
              <w:top w:val="single" w:sz="6" w:color="D9D9D9"/>
              <w:left w:val="single" w:sz="6" w:color="D9D9D9"/>
              <w:bottom w:val="single" w:sz="6" w:color="D9D9D9"/>
              <w:right w:val="single" w:sz="6" w:color="D9D9D9"/>
            </w:tcBorders>
            <w:shd w:val="clear" w:color="auto" w:fill="F6F8FB"/>
          </w:tcPr>
          <w:p>
            <w:pPr>
              <w:spacing w:before="40" w:after="40"/>
            </w:pPr>
            <w:r>
              <w:rPr>
                <w:color w:val="222222"/>
                <w:sz w:val="19"/>
              </w:rPr>
              <w:t>Les cas de test ne l'exercent pas → priorité au sémantique relationnel, qui est mesuré.</w:t>
            </w:r>
          </w:p>
        </w:tc>
      </w:tr>
      <w:tr>
        <w:tc>
          <w:tcPr>
            <w:tcW w:type="dxa" w:w="3061"/>
            <w:tcBorders>
              <w:top w:val="single" w:sz="6" w:color="D9D9D9"/>
              <w:left w:val="single" w:sz="6" w:color="D9D9D9"/>
              <w:bottom w:val="single" w:sz="6" w:color="D9D9D9"/>
              <w:right w:val="single" w:sz="6" w:color="D9D9D9"/>
            </w:tcBorders>
          </w:tcPr>
          <w:p>
            <w:pPr>
              <w:spacing w:before="40" w:after="40"/>
            </w:pPr>
            <w:r>
              <w:rPr>
                <w:color w:val="222222"/>
                <w:sz w:val="19"/>
              </w:rPr>
              <w:t>LLM-juge absent du chemin testé en CI</w:t>
            </w:r>
          </w:p>
        </w:tc>
        <w:tc>
          <w:tcPr>
            <w:tcW w:type="dxa" w:w="1587"/>
            <w:tcBorders>
              <w:top w:val="single" w:sz="6" w:color="D9D9D9"/>
              <w:left w:val="single" w:sz="6" w:color="D9D9D9"/>
              <w:bottom w:val="single" w:sz="6" w:color="D9D9D9"/>
              <w:right w:val="single" w:sz="6" w:color="D9D9D9"/>
            </w:tcBorders>
          </w:tcPr>
          <w:p>
            <w:pPr>
              <w:spacing w:before="40" w:after="40"/>
            </w:pPr>
            <w:r>
              <w:rPr>
                <w:color w:val="222222"/>
                <w:sz w:val="19"/>
              </w:rPr>
              <w:t>§5, §6, §7</w:t>
            </w:r>
          </w:p>
        </w:tc>
        <w:tc>
          <w:tcPr>
            <w:tcW w:type="dxa" w:w="4649"/>
            <w:tcBorders>
              <w:top w:val="single" w:sz="6" w:color="D9D9D9"/>
              <w:left w:val="single" w:sz="6" w:color="D9D9D9"/>
              <w:bottom w:val="single" w:sz="6" w:color="D9D9D9"/>
              <w:right w:val="single" w:sz="6" w:color="D9D9D9"/>
            </w:tcBorders>
          </w:tcPr>
          <w:p>
            <w:pPr>
              <w:spacing w:before="40" w:after="40"/>
            </w:pPr>
            <w:r>
              <w:rPr>
                <w:color w:val="222222"/>
                <w:sz w:val="19"/>
              </w:rPr>
              <w:t xml:space="preserve">Choix délibéré : le socle testé doit être déterministe. Le crochet </w:t>
            </w:r>
            <w:r>
              <w:rPr>
                <w:rFonts w:ascii="Consolas" w:hAnsi="Consolas"/>
                <w:i w:val="0"/>
                <w:color w:val="A31D1D"/>
                <w:sz w:val="17"/>
              </w:rPr>
              <w:t>moderator</w:t>
            </w:r>
            <w:r>
              <w:rPr>
                <w:color w:val="222222"/>
                <w:sz w:val="19"/>
              </w:rPr>
              <w:t xml:space="preserve"> est prêt.</w:t>
            </w:r>
          </w:p>
        </w:tc>
      </w:tr>
    </w:tbl>
    <w:p>
      <w:pPr>
        <w:spacing w:after="40"/>
      </w:pPr>
    </w:p>
    <w:p>
      <w:r>
        <w:rPr>
          <w:color w:val="222222"/>
          <w:sz w:val="21"/>
        </w:rPr>
        <w:t xml:space="preserve">Ces écarts sont </w:t>
      </w:r>
      <w:r>
        <w:rPr>
          <w:b/>
          <w:color w:val="222222"/>
          <w:sz w:val="21"/>
        </w:rPr>
        <w:t>écrits sur les schémas eux-mêmes</w:t>
      </w:r>
      <w:r>
        <w:rPr>
          <w:color w:val="222222"/>
          <w:sz w:val="21"/>
        </w:rPr>
        <w:t>, pas dissimulés dans une annexe. Un schéma qui montrerait une architecture idéale que le code ne réalise pas serait un schéma qui ment.</w:t>
      </w:r>
    </w:p>
    <w:tbl>
      <w:tblPr>
        <w:tblW w:type="auto" w:w="0"/>
        <w:jc w:val="center"/>
        <w:tblLayout w:type="fixed"/>
        <w:tblLook w:firstColumn="1" w:firstRow="1" w:lastColumn="0" w:lastRow="0" w:noHBand="0" w:noVBand="1" w:val="04A0"/>
      </w:tblPr>
      <w:tblGrid>
        <w:gridCol w:w="9298"/>
      </w:tblGrid>
      <w:tr>
        <w:tc>
          <w:tcPr>
            <w:tcW w:type="dxa" w:w="9298"/>
            <w:tcBorders>
              <w:top w:val="single" w:sz="4" w:color="F2F5F9"/>
              <w:left w:val="single" w:sz="18" w:color="2E5C8A"/>
              <w:bottom w:val="single" w:sz="4" w:color="F2F5F9"/>
              <w:right w:val="single" w:sz="4" w:color="F2F5F9"/>
            </w:tcBorders>
            <w:shd w:val="clear" w:color="auto" w:fill="F2F5F9"/>
          </w:tcPr>
          <w:p>
            <w:pPr>
              <w:spacing w:before="80" w:after="40"/>
            </w:pPr>
            <w:r>
              <w:rPr>
                <w:rFonts w:ascii="Calibri" w:hAnsi="Calibri"/>
                <w:b/>
                <w:color w:val="2E5C8A"/>
                <w:sz w:val="17"/>
              </w:rPr>
              <w:t>SOURCES ET RÉGÉNÉRATION</w:t>
            </w:r>
          </w:p>
          <w:p>
            <w:pPr>
              <w:spacing w:after="100"/>
            </w:pPr>
            <w:r>
              <w:rPr>
                <w:color w:val="222222"/>
                <w:sz w:val="20"/>
              </w:rPr>
              <w:t xml:space="preserve">Sources Mermaid : </w:t>
            </w:r>
            <w:r>
              <w:rPr>
                <w:rFonts w:ascii="Consolas" w:hAnsi="Consolas"/>
                <w:i w:val="0"/>
                <w:color w:val="A31D1D"/>
                <w:sz w:val="18"/>
              </w:rPr>
              <w:t>dossier-conception/diagrammes.md</w:t>
            </w:r>
            <w:r>
              <w:rPr>
                <w:color w:val="222222"/>
                <w:sz w:val="20"/>
              </w:rPr>
              <w:t xml:space="preserve"> (versionné) — c'est la référence. Schémas rendus : </w:t>
            </w:r>
            <w:r>
              <w:rPr>
                <w:rFonts w:ascii="Consolas" w:hAnsi="Consolas"/>
                <w:i w:val="0"/>
                <w:color w:val="A31D1D"/>
                <w:sz w:val="18"/>
              </w:rPr>
              <w:t>dossier-conception/Schema_conception_archi/png/</w:t>
            </w:r>
            <w:r>
              <w:rPr>
                <w:color w:val="222222"/>
                <w:sz w:val="20"/>
              </w:rPr>
              <w:t xml:space="preserve">, exportés via mermaideditor.io. Dossiers de conception détaillés : </w:t>
            </w:r>
            <w:r>
              <w:rPr>
                <w:rFonts w:ascii="Consolas" w:hAnsi="Consolas"/>
                <w:i w:val="0"/>
                <w:color w:val="A31D1D"/>
                <w:sz w:val="18"/>
              </w:rPr>
              <w:t>00-architecture-globale.md</w:t>
            </w:r>
            <w:r>
              <w:rPr>
                <w:color w:val="222222"/>
                <w:sz w:val="20"/>
              </w:rPr>
              <w:t xml:space="preserve">, </w:t>
            </w:r>
            <w:r>
              <w:rPr>
                <w:rFonts w:ascii="Consolas" w:hAnsi="Consolas"/>
                <w:i w:val="0"/>
                <w:color w:val="A31D1D"/>
                <w:sz w:val="18"/>
              </w:rPr>
              <w:t>01-memoire.md</w:t>
            </w:r>
            <w:r>
              <w:rPr>
                <w:color w:val="222222"/>
                <w:sz w:val="20"/>
              </w:rPr>
              <w:t xml:space="preserve">, </w:t>
            </w:r>
            <w:r>
              <w:rPr>
                <w:rFonts w:ascii="Consolas" w:hAnsi="Consolas"/>
                <w:i w:val="0"/>
                <w:color w:val="A31D1D"/>
                <w:sz w:val="18"/>
              </w:rPr>
              <w:t>02-guardrails.md</w:t>
            </w:r>
            <w:r>
              <w:rPr>
                <w:color w:val="222222"/>
                <w:sz w:val="20"/>
              </w:rPr>
              <w:t xml:space="preserve">, </w:t>
            </w:r>
            <w:r>
              <w:rPr>
                <w:rFonts w:ascii="Consolas" w:hAnsi="Consolas"/>
                <w:i w:val="0"/>
                <w:color w:val="A31D1D"/>
                <w:sz w:val="18"/>
              </w:rPr>
              <w:t>03-mlops.md</w:t>
            </w:r>
            <w:r>
              <w:rPr>
                <w:color w:val="222222"/>
                <w:sz w:val="20"/>
              </w:rPr>
              <w:t>. Toute modification d'un schéma se fait dans la source Mermaid, puis se réexporte — le document reste aligné sur le code parce que ses figures sont, elles aussi, du texte versionné.</w:t>
            </w:r>
          </w:p>
        </w:tc>
      </w:tr>
    </w:tbl>
    <w:p>
      <w:pPr>
        <w:spacing w:after="40"/>
      </w:pP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Velmo 2.0 — Schémas d'architecture commentés   ·   </w:t>
    </w:r>
    <w:r>
      <w:rPr>
        <w:color w:val="595959"/>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eastAsia="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i w:val="0"/>
      <w:color w:val="1F3364"/>
      <w:sz w:val="38"/>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i w:val="0"/>
      <w:color w:val="2E5C8A"/>
      <w:sz w:val="28"/>
      <w:szCs w:val="26"/>
    </w:rPr>
  </w:style>
  <w:style w:type="paragraph" w:styleId="Heading3">
    <w:name w:val="heading 3"/>
    <w:basedOn w:val="Normal"/>
    <w:next w:val="Normal"/>
    <w:link w:val="Heading3Char"/>
    <w:uiPriority w:val="9"/>
    <w:unhideWhenUsed/>
    <w:qFormat/>
    <w:rsid w:val="00FC693F"/>
    <w:pPr>
      <w:keepNext/>
      <w:keepLines/>
      <w:spacing w:before="240" w:after="60"/>
      <w:outlineLvl w:val="2"/>
    </w:pPr>
    <w:rPr>
      <w:rFonts w:asciiTheme="majorHAnsi" w:eastAsiaTheme="majorEastAsia" w:hAnsiTheme="majorHAnsi" w:cstheme="majorBidi" w:ascii="Calibri" w:hAnsi="Calibri"/>
      <w:b/>
      <w:bCs/>
      <w:i w:val="0"/>
      <w:color w:val="1F33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