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C98A9">
      <w:pPr>
        <w:widowControl/>
        <w:spacing w:before="100" w:beforeAutospacing="1" w:after="100" w:afterAutospacing="1" w:line="360" w:lineRule="auto"/>
        <w:jc w:val="center"/>
        <w:rPr>
          <w:rFonts w:ascii="宋体" w:hAnsi="宋体" w:eastAsia="宋体"/>
          <w:spacing w:val="40"/>
          <w:sz w:val="40"/>
          <w:szCs w:val="40"/>
        </w:rPr>
      </w:pPr>
    </w:p>
    <w:p w14:paraId="7FD6C18E">
      <w:pPr>
        <w:widowControl/>
        <w:spacing w:before="100" w:beforeAutospacing="1" w:after="100" w:afterAutospacing="1" w:line="360" w:lineRule="auto"/>
        <w:jc w:val="center"/>
        <w:rPr>
          <w:rFonts w:hint="eastAsia" w:ascii="宋体" w:hAnsi="宋体" w:eastAsia="宋体"/>
          <w:spacing w:val="40"/>
          <w:sz w:val="40"/>
          <w:szCs w:val="40"/>
        </w:rPr>
      </w:pPr>
      <w:r>
        <w:rPr>
          <w:rFonts w:ascii="宋体" w:hAnsi="宋体" w:eastAsia="宋体"/>
          <w:spacing w:val="40"/>
          <w:sz w:val="40"/>
          <w:szCs w:val="40"/>
        </w:rPr>
        <w:drawing>
          <wp:inline distT="0" distB="0" distL="0" distR="0">
            <wp:extent cx="4038600" cy="1856105"/>
            <wp:effectExtent l="0" t="0" r="0" b="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658" cy="18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3C2">
      <w:pPr>
        <w:widowControl/>
        <w:spacing w:before="100" w:beforeAutospacing="1" w:after="100" w:afterAutospacing="1" w:line="360" w:lineRule="auto"/>
        <w:jc w:val="center"/>
        <w:rPr>
          <w:rFonts w:hint="eastAsia" w:ascii="宋体" w:hAnsi="宋体" w:eastAsia="宋体"/>
          <w:spacing w:val="40"/>
          <w:sz w:val="40"/>
          <w:szCs w:val="40"/>
        </w:rPr>
      </w:pPr>
      <w:r>
        <w:rPr>
          <w:rFonts w:hint="eastAsia" w:ascii="宋体" w:hAnsi="宋体" w:eastAsia="宋体"/>
          <w:spacing w:val="40"/>
          <w:sz w:val="40"/>
          <w:szCs w:val="40"/>
        </w:rPr>
        <w:t>《计算机视觉课程设计》课程报告</w:t>
      </w:r>
    </w:p>
    <w:p w14:paraId="3B8F135A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学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</w:rPr>
        <w:t xml:space="preserve">院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 人工智能学院 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</w:p>
    <w:p w14:paraId="61DEA4A0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专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</w:rPr>
        <w:t xml:space="preserve">业 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人工智能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</w:p>
    <w:p w14:paraId="3283E443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>学生姓名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杨跃浙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</w:t>
      </w:r>
    </w:p>
    <w:p w14:paraId="2729F85E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>学生学号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hint="default" w:ascii="宋体" w:hAnsi="宋体" w:eastAsia="宋体"/>
          <w:spacing w:val="40"/>
          <w:sz w:val="36"/>
          <w:szCs w:val="36"/>
          <w:u w:val="single"/>
          <w:lang w:val="en-US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WA</w:t>
      </w:r>
      <w:r>
        <w:rPr>
          <w:rFonts w:hint="default" w:ascii="宋体" w:hAnsi="宋体" w:eastAsia="宋体"/>
          <w:spacing w:val="40"/>
          <w:sz w:val="36"/>
          <w:szCs w:val="36"/>
          <w:u w:val="single"/>
          <w:lang w:val="en-US" w:eastAsia="zh-CN"/>
        </w:rPr>
        <w:t>2214014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</w:t>
      </w:r>
    </w:p>
    <w:p w14:paraId="32F1B139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指导老师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魏馥琳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</w:t>
      </w:r>
    </w:p>
    <w:p w14:paraId="37EC54B8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>课程编号</w:t>
      </w:r>
      <w:r>
        <w:rPr>
          <w:rFonts w:ascii="宋体" w:hAnsi="宋体" w:eastAsia="宋体"/>
          <w:spacing w:val="40"/>
          <w:sz w:val="36"/>
          <w:szCs w:val="36"/>
        </w:rPr>
        <w:t xml:space="preserve">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ascii="宋体" w:hAnsi="宋体" w:eastAsia="宋体"/>
          <w:spacing w:val="40"/>
          <w:sz w:val="36"/>
          <w:szCs w:val="36"/>
          <w:u w:val="single"/>
          <w:lang w:val="en-US" w:eastAsia="zh-CN"/>
        </w:rPr>
        <w:t>SJ52022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</w:t>
      </w:r>
    </w:p>
    <w:p w14:paraId="31A58945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课程学分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hint="default" w:ascii="宋体" w:hAnsi="宋体" w:eastAsia="宋体"/>
          <w:spacing w:val="40"/>
          <w:sz w:val="36"/>
          <w:szCs w:val="36"/>
          <w:u w:val="single"/>
          <w:lang w:val="en-US"/>
        </w:rPr>
        <w:t>1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</w:p>
    <w:p w14:paraId="2B0447BD">
      <w:pPr>
        <w:widowControl/>
        <w:spacing w:before="100" w:beforeAutospacing="1" w:after="100" w:afterAutospacing="1" w:line="360" w:lineRule="auto"/>
        <w:ind w:firstLine="1320" w:firstLineChars="300"/>
        <w:jc w:val="left"/>
        <w:rPr>
          <w:rFonts w:hint="eastAsia" w:ascii="宋体" w:hAnsi="宋体" w:eastAsia="宋体"/>
          <w:spacing w:val="40"/>
          <w:sz w:val="36"/>
          <w:szCs w:val="36"/>
          <w:u w:val="single"/>
        </w:rPr>
      </w:pPr>
      <w:r>
        <w:rPr>
          <w:rFonts w:hint="eastAsia" w:ascii="宋体" w:hAnsi="宋体" w:eastAsia="宋体"/>
          <w:spacing w:val="40"/>
          <w:sz w:val="36"/>
          <w:szCs w:val="36"/>
        </w:rPr>
        <w:t xml:space="preserve">提交日期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</w:t>
      </w:r>
      <w:r>
        <w:rPr>
          <w:rFonts w:hint="default" w:ascii="宋体" w:hAnsi="宋体" w:eastAsia="宋体"/>
          <w:spacing w:val="40"/>
          <w:sz w:val="36"/>
          <w:szCs w:val="36"/>
          <w:u w:val="single"/>
          <w:lang w:val="en-US"/>
        </w:rPr>
        <w:t xml:space="preserve"> 2025.10.1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>4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pacing w:val="4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pacing w:val="40"/>
          <w:sz w:val="36"/>
          <w:szCs w:val="36"/>
          <w:u w:val="single"/>
        </w:rPr>
        <w:t xml:space="preserve">  </w:t>
      </w:r>
    </w:p>
    <w:p w14:paraId="702C7E2E">
      <w:pPr>
        <w:rPr>
          <w:rFonts w:hint="eastAsia"/>
          <w:sz w:val="36"/>
          <w:szCs w:val="36"/>
        </w:rPr>
      </w:pPr>
    </w:p>
    <w:p w14:paraId="775B3B6E">
      <w:pPr>
        <w:rPr>
          <w:rFonts w:hint="eastAsia"/>
          <w:sz w:val="36"/>
          <w:szCs w:val="36"/>
        </w:rPr>
      </w:pPr>
    </w:p>
    <w:p w14:paraId="67C9A563">
      <w:pPr>
        <w:jc w:val="center"/>
        <w:rPr>
          <w:rFonts w:hint="eastAsia"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目录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2694393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1"/>
          <w:szCs w:val="44"/>
          <w:lang w:val="en-US" w:eastAsia="zh-CN" w:bidi="ar-SA"/>
        </w:rPr>
      </w:sdtEndPr>
      <w:sdtContent>
        <w:p w14:paraId="7143291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0FBA369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 w:val="44"/>
              <w:szCs w:val="44"/>
            </w:rPr>
            <w:fldChar w:fldCharType="begin"/>
          </w:r>
          <w:r>
            <w:rPr>
              <w:rFonts w:hint="eastAsia" w:ascii="宋体" w:hAnsi="宋体" w:eastAsia="宋体"/>
              <w:sz w:val="44"/>
              <w:szCs w:val="44"/>
            </w:rPr>
            <w:instrText xml:space="preserve">TOC \o "1-3" \h \u </w:instrText>
          </w:r>
          <w:r>
            <w:rPr>
              <w:rFonts w:hint="eastAsia" w:ascii="宋体" w:hAnsi="宋体" w:eastAsia="宋体"/>
              <w:sz w:val="44"/>
              <w:szCs w:val="44"/>
            </w:rPr>
            <w:fldChar w:fldCharType="separate"/>
          </w: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_Toc1233551632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一、 </w:t>
          </w:r>
          <w:r>
            <w:rPr>
              <w:lang w:val="en-US" w:eastAsia="zh-CN"/>
            </w:rPr>
            <w:t>设计目的</w:t>
          </w:r>
          <w:r>
            <w:tab/>
          </w:r>
          <w:r>
            <w:fldChar w:fldCharType="begin"/>
          </w:r>
          <w:r>
            <w:instrText xml:space="preserve"> PAGEREF _Toc1233551632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3F4D4F6A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_Toc495150886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二、 </w:t>
          </w:r>
          <w:r>
            <w:rPr>
              <w:lang w:val="en-US" w:eastAsia="zh-CN"/>
            </w:rPr>
            <w:t>设计原理</w:t>
          </w:r>
          <w:r>
            <w:tab/>
          </w:r>
          <w:r>
            <w:fldChar w:fldCharType="begin"/>
          </w:r>
          <w:r>
            <w:instrText xml:space="preserve"> PAGEREF _Toc495150886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62B4653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_Toc501808877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lang w:val="en-US" w:eastAsia="zh-CN"/>
            </w:rPr>
            <w:t>2.1 超声视频诊断核心挑战与技术适配性</w:t>
          </w:r>
          <w:r>
            <w:tab/>
          </w:r>
          <w:r>
            <w:fldChar w:fldCharType="begin"/>
          </w:r>
          <w:r>
            <w:instrText xml:space="preserve"> PAGEREF _Toc501808877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4D6ACFBC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_Toc733513970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lang w:val="en-US" w:eastAsia="zh-CN"/>
            </w:rPr>
            <w:t>2.2 CTU-Net网络原理</w:t>
          </w:r>
          <w:r>
            <w:tab/>
          </w:r>
          <w:r>
            <w:fldChar w:fldCharType="begin"/>
          </w:r>
          <w:r>
            <w:instrText xml:space="preserve"> PAGEREF _Toc733513970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577A94EB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_Toc1613160010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lang w:val="en-US" w:eastAsia="zh-CN"/>
            </w:rPr>
            <w:t>2.3 大语言模型（LLMs）临床推理原理</w:t>
          </w:r>
          <w:r>
            <w:tab/>
          </w:r>
          <w:r>
            <w:fldChar w:fldCharType="begin"/>
          </w:r>
          <w:r>
            <w:instrText xml:space="preserve"> PAGEREF _Toc1613160010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1A66F0D3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_Toc399244695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2.4 数据集构建原理</w:t>
          </w:r>
          <w:r>
            <w:tab/>
          </w:r>
          <w:r>
            <w:fldChar w:fldCharType="begin"/>
          </w:r>
          <w:r>
            <w:instrText xml:space="preserve"> PAGEREF _Toc399244695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352E5DAE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_Toc1366675637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三、 </w:t>
          </w:r>
          <w:r>
            <w:rPr>
              <w:lang w:val="en-US" w:eastAsia="zh-CN"/>
            </w:rPr>
            <w:t>详细的步骤</w:t>
          </w:r>
          <w:r>
            <w:tab/>
          </w:r>
          <w:r>
            <w:fldChar w:fldCharType="begin"/>
          </w:r>
          <w:r>
            <w:instrText xml:space="preserve"> PAGEREF _Toc1366675637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3264EBB4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_Toc232342747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 </w:t>
          </w:r>
          <w:r>
            <w:rPr>
              <w:lang w:val="en-US" w:eastAsia="zh-CN"/>
            </w:rPr>
            <w:t>数据集构建</w:t>
          </w:r>
          <w:r>
            <w:tab/>
          </w:r>
          <w:r>
            <w:fldChar w:fldCharType="begin"/>
          </w:r>
          <w:r>
            <w:instrText xml:space="preserve"> PAGEREF _Toc232342747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6C9BF594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_Toc859278583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3.1.1 </w:t>
          </w:r>
          <w:r>
            <w:rPr>
              <w:lang w:val="en-US" w:eastAsia="zh-CN"/>
            </w:rPr>
            <w:t>数据收集与筛选</w:t>
          </w:r>
          <w:r>
            <w:tab/>
          </w:r>
          <w:r>
            <w:fldChar w:fldCharType="begin"/>
          </w:r>
          <w:r>
            <w:instrText xml:space="preserve"> PAGEREF _Toc859278583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7AFDE148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_Toc67618406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3.1.2 </w:t>
          </w:r>
          <w:r>
            <w:rPr>
              <w:rFonts w:hint="eastAsia"/>
              <w:lang w:val="en-US" w:eastAsia="zh-CN"/>
            </w:rPr>
            <w:t>数据集划分与预处理</w:t>
          </w:r>
          <w:r>
            <w:tab/>
          </w:r>
          <w:r>
            <w:fldChar w:fldCharType="begin"/>
          </w:r>
          <w:r>
            <w:instrText xml:space="preserve"> PAGEREF _Toc67618406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7225AF7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_Toc443700379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 </w:t>
          </w:r>
          <w:r>
            <w:rPr>
              <w:rFonts w:hint="eastAsia"/>
              <w:lang w:val="en-US" w:eastAsia="zh-CN"/>
            </w:rPr>
            <w:t>CTU-Net模型实现与训练</w:t>
          </w:r>
          <w:r>
            <w:tab/>
          </w:r>
          <w:r>
            <w:fldChar w:fldCharType="begin"/>
          </w:r>
          <w:r>
            <w:instrText xml:space="preserve"> PAGEREF _Toc443700379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6EE9438E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_Toc1209047469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 </w:t>
          </w:r>
          <w:r>
            <w:rPr>
              <w:rFonts w:hint="eastAsia"/>
              <w:lang w:val="en-US" w:eastAsia="zh-CN"/>
            </w:rPr>
            <w:t>模型搭建</w:t>
          </w:r>
          <w:r>
            <w:tab/>
          </w:r>
          <w:r>
            <w:fldChar w:fldCharType="begin"/>
          </w:r>
          <w:r>
            <w:instrText xml:space="preserve"> PAGEREF _Toc1209047469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26D9A8EF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_Toc970543569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 </w:t>
          </w:r>
          <w:r>
            <w:rPr>
              <w:rFonts w:hint="eastAsia"/>
              <w:lang w:val="en-US" w:eastAsia="zh-CN"/>
            </w:rPr>
            <w:t>训练配置与过程</w:t>
          </w:r>
          <w:r>
            <w:tab/>
          </w:r>
          <w:r>
            <w:fldChar w:fldCharType="begin"/>
          </w:r>
          <w:r>
            <w:instrText xml:space="preserve"> PAGEREF _Toc970543569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7C2B60F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_Toc1787465218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 </w:t>
          </w:r>
          <w:r>
            <w:rPr>
              <w:rFonts w:hint="eastAsia"/>
              <w:lang w:val="en-US" w:eastAsia="zh-CN"/>
            </w:rPr>
            <w:t>LLM诊断推理模块实现</w:t>
          </w:r>
          <w:r>
            <w:tab/>
          </w:r>
          <w:r>
            <w:fldChar w:fldCharType="begin"/>
          </w:r>
          <w:r>
            <w:instrText xml:space="preserve"> PAGEREF _Toc1787465218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52B820DA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_Toc779181043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3.3.1 </w:t>
          </w:r>
          <w:r>
            <w:rPr>
              <w:rFonts w:hint="eastAsia"/>
              <w:lang w:val="en-US" w:eastAsia="zh-CN"/>
            </w:rPr>
            <w:t>提示模板设计</w:t>
          </w:r>
          <w:r>
            <w:tab/>
          </w:r>
          <w:r>
            <w:fldChar w:fldCharType="begin"/>
          </w:r>
          <w:r>
            <w:instrText xml:space="preserve"> PAGEREF _Toc779181043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2CB47677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_Toc340510295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3.3.2 </w:t>
          </w:r>
          <w:r>
            <w:rPr>
              <w:rFonts w:hint="eastAsia"/>
              <w:lang w:val="en-US" w:eastAsia="zh-CN"/>
            </w:rPr>
            <w:t>诊断结果生成与评估</w:t>
          </w:r>
          <w:r>
            <w:tab/>
          </w:r>
          <w:r>
            <w:fldChar w:fldCharType="begin"/>
          </w:r>
          <w:r>
            <w:instrText xml:space="preserve"> PAGEREF _Toc340510295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7FCA0406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_Toc2060092457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 </w:t>
          </w:r>
          <w:r>
            <w:rPr>
              <w:rFonts w:hint="eastAsia"/>
              <w:lang w:val="en-US" w:eastAsia="zh-CN"/>
            </w:rPr>
            <w:t>系统集成与测试</w:t>
          </w:r>
          <w:r>
            <w:tab/>
          </w:r>
          <w:r>
            <w:fldChar w:fldCharType="begin"/>
          </w:r>
          <w:r>
            <w:instrText xml:space="preserve"> PAGEREF _Toc2060092457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3F4F2116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_Toc95084218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四、 设计结果</w:t>
          </w:r>
          <w:r>
            <w:tab/>
          </w:r>
          <w:r>
            <w:fldChar w:fldCharType="begin"/>
          </w:r>
          <w:r>
            <w:instrText xml:space="preserve"> PAGEREF _Toc95084218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5B128C31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_Toc352618558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4.1 数据集构建结果</w:t>
          </w:r>
          <w:r>
            <w:tab/>
          </w:r>
          <w:r>
            <w:fldChar w:fldCharType="begin"/>
          </w:r>
          <w:r>
            <w:instrText xml:space="preserve"> PAGEREF _Toc352618558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63BA676C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_Toc1552722233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4.2 CTU-Net分类性能结果</w:t>
          </w:r>
          <w:r>
            <w:tab/>
          </w:r>
          <w:r>
            <w:fldChar w:fldCharType="begin"/>
          </w:r>
          <w:r>
            <w:instrText xml:space="preserve"> PAGEREF _Toc1552722233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1F3FA2B2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_Toc381291687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4.2.1 整体性能 CTU-Net</w:t>
          </w:r>
          <w:r>
            <w:tab/>
          </w:r>
          <w:r>
            <w:fldChar w:fldCharType="begin"/>
          </w:r>
          <w:r>
            <w:instrText xml:space="preserve"> PAGEREF _Toc381291687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55152B3B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_Toc278180761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4.2.2 类别级性能</w:t>
          </w:r>
          <w:r>
            <w:tab/>
          </w:r>
          <w:r>
            <w:fldChar w:fldCharType="begin"/>
          </w:r>
          <w:r>
            <w:instrText xml:space="preserve"> PAGEREF _Toc278180761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2237A9D3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_Toc312150608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4.2.3 消融实验结果</w:t>
          </w:r>
          <w:r>
            <w:tab/>
          </w:r>
          <w:r>
            <w:fldChar w:fldCharType="begin"/>
          </w:r>
          <w:r>
            <w:instrText xml:space="preserve"> PAGEREF _Toc312150608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37EA8852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_Toc12719035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4.3 LLM诊断推理结果</w:t>
          </w:r>
          <w:r>
            <w:tab/>
          </w:r>
          <w:r>
            <w:fldChar w:fldCharType="begin"/>
          </w:r>
          <w:r>
            <w:instrText xml:space="preserve"> PAGEREF _Toc12719035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282243B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_Toc1167940192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4.3.1 临床案例表现</w:t>
          </w:r>
          <w:r>
            <w:tab/>
          </w:r>
          <w:r>
            <w:fldChar w:fldCharType="begin"/>
          </w:r>
          <w:r>
            <w:instrText xml:space="preserve"> PAGEREF _Toc1167940192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0A649284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_Toc1570273364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五、 总结分析</w:t>
          </w:r>
          <w:r>
            <w:tab/>
          </w:r>
          <w:r>
            <w:fldChar w:fldCharType="begin"/>
          </w:r>
          <w:r>
            <w:instrText xml:space="preserve"> PAGEREF _Toc1570273364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14EF0C98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_Toc1157890765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5.1 项目核心价值与创新点</w:t>
          </w:r>
          <w:r>
            <w:tab/>
          </w:r>
          <w:r>
            <w:fldChar w:fldCharType="begin"/>
          </w:r>
          <w:r>
            <w:instrText xml:space="preserve"> PAGEREF _Toc1157890765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2350AC73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_Toc173278241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5.2 技术方案有效性验证</w:t>
          </w:r>
          <w:r>
            <w:tab/>
          </w:r>
          <w:r>
            <w:fldChar w:fldCharType="begin"/>
          </w:r>
          <w:r>
            <w:instrText xml:space="preserve"> PAGEREF _Toc173278241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7411889A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_Toc299571155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5.3 局限性与改进方向</w:t>
          </w:r>
          <w:r>
            <w:tab/>
          </w:r>
          <w:r>
            <w:fldChar w:fldCharType="begin"/>
          </w:r>
          <w:r>
            <w:instrText xml:space="preserve"> PAGEREF _Toc299571155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799F986C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/>
              <w:szCs w:val="44"/>
            </w:rPr>
            <w:fldChar w:fldCharType="begin"/>
          </w:r>
          <w:r>
            <w:rPr>
              <w:rFonts w:hint="eastAsia" w:ascii="宋体" w:hAnsi="宋体" w:eastAsia="宋体"/>
              <w:szCs w:val="44"/>
            </w:rPr>
            <w:instrText xml:space="preserve"> HYPERLINK \l _Toc1190733517 </w:instrText>
          </w:r>
          <w:r>
            <w:rPr>
              <w:rFonts w:hint="eastAsia" w:ascii="宋体" w:hAnsi="宋体" w:eastAsia="宋体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5.4 课程设计衍生启示</w:t>
          </w:r>
          <w:r>
            <w:tab/>
          </w:r>
          <w:r>
            <w:fldChar w:fldCharType="begin"/>
          </w:r>
          <w:r>
            <w:instrText xml:space="preserve"> PAGEREF _Toc1190733517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/>
              <w:szCs w:val="44"/>
            </w:rPr>
            <w:fldChar w:fldCharType="end"/>
          </w:r>
        </w:p>
        <w:p w14:paraId="601EC9A1">
          <w:pPr>
            <w:jc w:val="center"/>
            <w:rPr>
              <w:rFonts w:hint="eastAsia" w:ascii="宋体" w:hAnsi="宋体" w:eastAsia="宋体" w:cstheme="minorBidi"/>
              <w:kern w:val="2"/>
              <w:sz w:val="21"/>
              <w:szCs w:val="4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/>
              <w:szCs w:val="44"/>
            </w:rPr>
            <w:fldChar w:fldCharType="end"/>
          </w:r>
          <w:bookmarkStart w:id="30" w:name="_GoBack"/>
          <w:bookmarkEnd w:id="30"/>
        </w:p>
      </w:sdtContent>
    </w:sdt>
    <w:p w14:paraId="0ABF8F20">
      <w:pPr>
        <w:pStyle w:val="2"/>
        <w:numPr>
          <w:ilvl w:val="0"/>
          <w:numId w:val="1"/>
        </w:numPr>
        <w:bidi w:val="0"/>
        <w:rPr>
          <w:lang w:val="en-US" w:eastAsia="zh-CN"/>
        </w:rPr>
      </w:pPr>
      <w:bookmarkStart w:id="0" w:name="_Toc1233551632"/>
      <w:r>
        <w:rPr>
          <w:lang w:val="en-US" w:eastAsia="zh-CN"/>
        </w:rPr>
        <w:t>设计目的</w:t>
      </w:r>
      <w:bookmarkEnd w:id="0"/>
      <w:r>
        <w:rPr>
          <w:lang w:val="en-US" w:eastAsia="zh-CN"/>
        </w:rPr>
        <w:t xml:space="preserve"> </w:t>
      </w:r>
    </w:p>
    <w:p w14:paraId="4CAE6063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本次课程设计聚焦超声视频诊断这一医学计算机视觉衍生任务，旨在构建融合深度学习与大语言模型（LLMs）的智能诊断系统Auto-US，解决传统超声诊断依赖医师经验、图像质量干扰大、临床泛化性不足等问题。具体设计目的可分为技术实现与临床应用两方面： 在技术层面，首先通过整合多源公开数据构建覆盖多器官、多疾病的CUV数据集，解决现有超声视频数据集类别单一、样本量有限的问题，为模型训练提供多样化数据支撑；其次设计CTU-Net网络架构，突破传统ResNet仅能提取空间特征的局限，实现对超声视频中空间、时间、频率域三维信息的协同捕捉，验证多模态特征融合在医学视频分类中的有效性；最后探索深度学习与LLMs的结合模式，将模型分类结果转化为符合临床规范的诊断报告，实现从“图像识别”到“诊断决策”的技术闭环，为医学影像智能诊断提供可复用的技术框架。 在临床应用层面，一是提升超声诊断的客观性与一致性，减少医师主观判断差异，尤其为基层医疗场景提供标准化诊断辅助；二是通过频率域特征提取增强 lesion 边界识别能力，针对乳腺肿瘤、胆囊炎、肺炎等典型疾病提升诊断精度；三是借助LLMs生成符合国际临床指南（如BI-RADS、ACG指南）的诊断建议，降低医师报告撰写负担，同时为年轻医师提供诊疗参考，最终推动AI辅助超声诊断的临床落地。 从课程设计衍生价值来看，该项目是ResNet图像分类任务的深度拓展——从静态图像到动态视频、从自然场景到医学影像、从单一分类结果到多模态诊断输出，不仅深化了对卷积神经网络、Transformer、频率域分析等技术的理解，更培养了将计算机视觉技术与临床需求结合的工程思维，为后续复杂医学影像任务（如病灶分割、动态监测）奠定基础。</w:t>
      </w:r>
    </w:p>
    <w:p w14:paraId="2834E2CC">
      <w:pPr>
        <w:pStyle w:val="2"/>
        <w:numPr>
          <w:ilvl w:val="0"/>
          <w:numId w:val="1"/>
        </w:numPr>
        <w:bidi w:val="0"/>
        <w:rPr>
          <w:lang w:val="en-US" w:eastAsia="zh-CN"/>
        </w:rPr>
      </w:pPr>
      <w:bookmarkStart w:id="1" w:name="_Toc495150886"/>
      <w:r>
        <w:rPr>
          <w:lang w:val="en-US" w:eastAsia="zh-CN"/>
        </w:rPr>
        <w:t>设计原理</w:t>
      </w:r>
      <w:bookmarkEnd w:id="1"/>
      <w:r>
        <w:rPr>
          <w:lang w:val="en-US" w:eastAsia="zh-CN"/>
        </w:rPr>
        <w:t xml:space="preserve"> </w:t>
      </w:r>
    </w:p>
    <w:p w14:paraId="2A204985">
      <w:pPr>
        <w:pStyle w:val="3"/>
        <w:bidi w:val="0"/>
        <w:rPr>
          <w:lang w:val="en-US" w:eastAsia="zh-CN"/>
        </w:rPr>
      </w:pPr>
      <w:bookmarkStart w:id="2" w:name="_Toc501808877"/>
      <w:r>
        <w:rPr>
          <w:lang w:val="en-US" w:eastAsia="zh-CN"/>
        </w:rPr>
        <w:t>2.1 超声视频诊断核心挑战与技术适配性</w:t>
      </w:r>
      <w:bookmarkEnd w:id="2"/>
      <w:r>
        <w:rPr>
          <w:lang w:val="en-US" w:eastAsia="zh-CN"/>
        </w:rPr>
        <w:t xml:space="preserve"> </w:t>
      </w:r>
    </w:p>
    <w:p w14:paraId="318ED1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超声视频诊断的核心难点在于三方面：一是图像质量受噪声、伪影干扰大，且不同设备成像风格差异显著，需模型具备强鲁棒性；二是疾病诊断依赖动态时序信息（如胆囊收缩、肺部呼吸运动），静态图像分类模型无法捕捉；三是医学诊断需结合多维度信息（空间形态、时间变化、频率特征），单一特征提取方式难以满足需求。 针对这些挑战，本设计采用“多路径特征融合+LLMs临床推理”的技术框架：通过CTU-Net网络解决视频特征提取问题，利用LLMs实现诊断结果的临床转化。其中，CTU-Net的设计借鉴了ResNet的残差连接思想（增强梯度传播），同时融合Transformer的时序建模能力与频率域分析技术，形成适配超声视频的特色架构。 </w:t>
      </w:r>
    </w:p>
    <w:p w14:paraId="0D1DB29E">
      <w:pPr>
        <w:pStyle w:val="3"/>
        <w:bidi w:val="0"/>
        <w:rPr>
          <w:lang w:val="en-US" w:eastAsia="zh-CN"/>
        </w:rPr>
      </w:pPr>
      <w:bookmarkStart w:id="3" w:name="_Toc733513970"/>
      <w:r>
        <w:rPr>
          <w:lang w:val="en-US" w:eastAsia="zh-CN"/>
        </w:rPr>
        <w:t>2.2 CTU-Net网络原理</w:t>
      </w:r>
      <w:bookmarkEnd w:id="3"/>
      <w:r>
        <w:rPr>
          <w:lang w:val="en-US" w:eastAsia="zh-CN"/>
        </w:rPr>
        <w:t xml:space="preserve"> </w:t>
      </w:r>
    </w:p>
    <w:p w14:paraId="5830AA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CTU-Net采用三路径并行架构，分别提取空间、时间、频率域特征，再通过自适应融合机制生成最终分类特征，具体原理如下： </w:t>
      </w:r>
    </w:p>
    <w:p w14:paraId="50A1C0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1） 慢路径（空间特征提取） </w:t>
      </w:r>
    </w:p>
    <w:p w14:paraId="499088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慢路径以3D卷积+残差连接为核心，借鉴ResNet的残差块设计，通过堆叠带 shortcut 的3D卷积层，捕捉超声视频中的空间细节特征（如病灶大小、边界形态）。输入视频序列经3D卷积、批归一化（BN）、ReLU激活与3D最大池化后，生成初始特征图；后续特征提取模块通过残差连接（Shortcut）缓解梯度消失，增强对微小病灶（如早期乳腺结节）的敏感性，最终输出空间特征图 </w:t>
      </w:r>
      <m:oMath>
        <m:r>
          <m:rPr/>
          <w:rPr>
            <w:rFonts w:hint="default" w:ascii="DejaVu Math TeX Gyre" w:hAnsi="DejaVu Math TeX Gyre" w:eastAsia="宋体"/>
            <w:sz w:val="28"/>
          </w:rPr>
          <m:t>(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)</m:t>
        </m:r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。该路径的设计核心是“高分辨率空间特征保留”，通过较小的时间采样率（每2帧采样1帧），确保空间信息不被过度压缩。 </w:t>
      </w:r>
    </w:p>
    <w:p w14:paraId="246BC2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2） 快路径（时间特征提取） </w:t>
      </w:r>
    </w:p>
    <w:p w14:paraId="49AB8B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快路径采用Transformer架构，聚焦超声视频的动态时序信息（如胆囊蠕动、肺部随呼吸的运动）。首先通过时间下采样（每5帧采样1帧）降低计算量，再将每帧图像分割为固定尺寸补丁（Patch），经嵌入层映射到低维空间；引入可学习的分类令牌（cls token）与位置编码，通过“空间注意力+时间注意力”的双阶段建模，先聚合不同帧的空间关键区域，再捕捉帧间时序依赖；最后通过时序平均池化生成时间特征</w:t>
      </w:r>
      <m:oMath>
        <m:r>
          <m:rPr/>
          <w:rPr>
            <w:rFonts w:hint="default" w:ascii="DejaVu Math TeX Gyre" w:hAnsi="DejaVu Math TeX Gyre" w:eastAsia="宋体"/>
            <w:sz w:val="28"/>
          </w:rPr>
          <m:t>(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)</m:t>
        </m:r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。该路径弥补了ResNet对长时序依赖建模能力的不足，通过自注意力机制有效捕捉疾病的动态特征（如肺炎患者肺部超声的“B线”随呼吸的变化）。 </w:t>
      </w:r>
    </w:p>
    <w:p w14:paraId="775C8C8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3） 频率路径（频率特征提取） </w:t>
      </w:r>
    </w:p>
    <w:p w14:paraId="433F78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频率路径针对超声图像的高频特征（如病灶边界的频率响应差异）设计，通过傅里叶变换将图像转换到频率域，提取传统空间域难以捕捉的特征。输入帧经2D实值快速傅里叶变换（RFFT2）得到复数频谱，取模后通过插值恢复原始分辨率；再经2D卷积提取频谱特征，并用拉普拉斯高通滤波器（HPF）增强边缘细节（对应病灶边界的高频信号）；最后通过池化与时序平均生成频率特征 </w:t>
      </w:r>
      <m:oMath>
        <m:r>
          <m:rPr/>
          <w:rPr>
            <w:rFonts w:hint="default" w:ascii="DejaVu Math TeX Gyre" w:hAnsi="DejaVu Math TeX Gyre" w:eastAsia="宋体"/>
            <w:sz w:val="28"/>
          </w:rPr>
          <m:t>(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freq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)</m:t>
        </m:r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，并作为融合权重生成模块的输入，自适应调整慢路径与快路径的特征贡献比例（如对边界清晰的乳腺肿瘤，提升频率特征权重；对动态变化明显的胆囊炎，提升时间特征权重）。</w:t>
      </w:r>
    </w:p>
    <w:p w14:paraId="631C1B39">
      <w:pPr>
        <w:keepNext w:val="0"/>
        <w:keepLines w:val="0"/>
        <w:widowControl/>
        <w:numPr>
          <w:ilvl w:val="0"/>
          <w:numId w:val="2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特征融合与分类 频率路径生成的特征通过轻量级MLP与Softmax函数，输出慢路径与快路径的融合权重</w:t>
      </w:r>
      <m:oMath>
        <m:r>
          <m:rPr/>
          <w:rPr>
            <w:rFonts w:hint="default" w:ascii="DejaVu Math TeX Gyre" w:hAnsi="DejaVu Math TeX Gyre" w:eastAsia="宋体"/>
            <w:sz w:val="28"/>
          </w:rPr>
          <m:t>(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α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)</m:t>
        </m:r>
        <m:r>
          <m:rPr>
            <m:sty m:val="p"/>
          </m:rPr>
          <w:rPr>
            <w:rFonts w:hint="default" w:ascii="DejaVu Math TeX Gyre" w:hAnsi="DejaVu Math TeX Gyre" w:eastAsia="宋体"/>
            <w:sz w:val="28"/>
          </w:rPr>
          <m:t>、</m:t>
        </m:r>
        <m:r>
          <m:rPr/>
          <w:rPr>
            <w:rFonts w:hint="default" w:ascii="DejaVu Math TeX Gyre" w:hAnsi="DejaVu Math TeX Gyre" w:eastAsia="宋体"/>
            <w:sz w:val="28"/>
          </w:rPr>
          <m:t>(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α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)</m:t>
        </m:r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；最终融合特征</w:t>
      </w:r>
      <m:oMath>
        <m:r>
          <m:rPr/>
          <w:rPr>
            <w:rFonts w:hint="default" w:ascii="DejaVu Math TeX Gyre" w:hAnsi="DejaVu Math TeX Gyre" w:eastAsia="宋体"/>
            <w:sz w:val="28"/>
          </w:rPr>
          <m:t>(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fused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=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α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⋅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+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α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⋅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)</m:t>
        </m:r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，经线性分类器输出5类疾病（良性乳腺病变、恶性乳腺病变、胆囊炎、COVID-19肺炎、细菌性肺炎）的预测概率。 </w:t>
      </w:r>
    </w:p>
    <w:p w14:paraId="4E07A5CF">
      <w:pPr>
        <w:pStyle w:val="3"/>
        <w:bidi w:val="0"/>
        <w:rPr>
          <w:lang w:val="en-US" w:eastAsia="zh-CN"/>
        </w:rPr>
      </w:pPr>
      <w:bookmarkStart w:id="4" w:name="_Toc1613160010"/>
      <w:r>
        <w:rPr>
          <w:lang w:val="en-US" w:eastAsia="zh-CN"/>
        </w:rPr>
        <w:t>2.3 大语言模型（LLMs）临床推理原理</w:t>
      </w:r>
      <w:bookmarkEnd w:id="4"/>
      <w:r>
        <w:rPr>
          <w:lang w:val="en-US" w:eastAsia="zh-CN"/>
        </w:rPr>
        <w:t xml:space="preserve"> </w:t>
      </w:r>
    </w:p>
    <w:p w14:paraId="201F5E4E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为将CTU-Net的分类结果转化为临床可用的诊断建议，本设计选用DeepSeek-R1-7B作为LLMs核心，通过以下原理实现临床推理： </w:t>
      </w:r>
    </w:p>
    <w:p w14:paraId="00008993">
      <w:pPr>
        <w:keepNext w:val="0"/>
        <w:keepLines w:val="0"/>
        <w:widowControl/>
        <w:numPr>
          <w:ilvl w:val="0"/>
          <w:numId w:val="3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结构化提示（Prompt）设计：将CTU-Net的分类结果（如“恶性乳腺病变”）与患者临床信息（主诉、体格检查、病史）整合为符合临床规范的提示模板，模板内容参考国际指南（如乳腺疾病遵循BI-RADS 5th标准，肺炎参考IDSA/ATS指南），确保输入信息的标准化。</w:t>
      </w:r>
    </w:p>
    <w:p w14:paraId="16E61356">
      <w:pPr>
        <w:keepNext w:val="0"/>
        <w:keepLines w:val="0"/>
        <w:widowControl/>
        <w:numPr>
          <w:ilvl w:val="0"/>
          <w:numId w:val="3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临床知识注入：通过提示模板引导LLMs调用内置的医学知识，如对“恶性乳腺病变”，LLMs会结合BI-RADS分类标准，生成“BI-RADS 4B类”的风险分层，并推荐进一步活检；对胆囊炎，参考ACG指南建议炎症指标检测与腹部CT检查。 </w:t>
      </w:r>
    </w:p>
    <w:p w14:paraId="0BAE6911">
      <w:pPr>
        <w:keepNext w:val="0"/>
        <w:keepLines w:val="0"/>
        <w:widowControl/>
        <w:numPr>
          <w:ilvl w:val="0"/>
          <w:numId w:val="3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输出格式化：LLMs按“初步诊断-诊断依据-后续建议”的临床报告结构输出结果，确保内容符合医师阅读习惯，同时通过METEOR评分（语义相似度）与专家评分验证输出的准确性与实用性。 </w:t>
      </w:r>
    </w:p>
    <w:p w14:paraId="79089531">
      <w:pPr>
        <w:pStyle w:val="3"/>
        <w:bidi w:val="0"/>
        <w:rPr>
          <w:rFonts w:hint="eastAsia"/>
          <w:lang w:val="en-US" w:eastAsia="zh-CN"/>
        </w:rPr>
      </w:pPr>
      <w:bookmarkStart w:id="5" w:name="_Toc399244695"/>
      <w:r>
        <w:rPr>
          <w:rFonts w:hint="eastAsia"/>
          <w:lang w:val="en-US" w:eastAsia="zh-CN"/>
        </w:rPr>
        <w:t>2.4 数据集构建原理</w:t>
      </w:r>
      <w:bookmarkEnd w:id="5"/>
      <w:r>
        <w:rPr>
          <w:rFonts w:hint="eastAsia"/>
          <w:lang w:val="en-US" w:eastAsia="zh-CN"/>
        </w:rPr>
        <w:t xml:space="preserve"> </w:t>
      </w:r>
    </w:p>
    <w:p w14:paraId="0D9D58BA">
      <w:pPr>
        <w:keepNext w:val="0"/>
        <w:keepLines w:val="0"/>
        <w:widowControl/>
        <w:numPr>
          <w:ilvl w:val="0"/>
          <w:numId w:val="0"/>
        </w:numPr>
        <w:suppressLineNumbers w:val="0"/>
        <w:ind w:left="68" w:leftChars="0" w:firstLine="719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为解决超声视频数据集稀缺问题，CUV数据集的构建遵循“质量筛选-类别整合-临床适配”原则： 1. **数据集筛选**：从BUV、UIdataGB、POCUS等公开数据集筛选满足以下条件的样本：含完整标注与分类标签、为真实视频序列（非单帧拼接）、经ResNet基线模型验证（分类准确率 \(Acc \geq 1 - 0.4 \times log(C)\)，C为类别数）且临床专家评估图像清晰、诊断特征明确，确保数据质量可靠。 2. **类别整合**：合并语义重叠或临床模糊的类别（如将UIdataGB数据集中的9类胆囊疾病整合为“胆囊疾病”1类），保留关键疾病亚型（如肺炎分为COVID-19与细菌性肺炎），排除易混淆的正常样本与少数病毒肺炎样本，确保数据集既覆盖多器官（乳腺、胆囊、肺部），又避免类别 imbalance导致的模型偏倚。</w:t>
      </w:r>
    </w:p>
    <w:p w14:paraId="283CEBF6">
      <w:pPr>
        <w:pStyle w:val="2"/>
        <w:numPr>
          <w:ilvl w:val="0"/>
          <w:numId w:val="1"/>
        </w:numPr>
        <w:bidi w:val="0"/>
        <w:rPr>
          <w:lang w:val="en-US" w:eastAsia="zh-CN"/>
        </w:rPr>
      </w:pPr>
      <w:bookmarkStart w:id="6" w:name="_Toc1366675637"/>
      <w:r>
        <w:rPr>
          <w:lang w:val="en-US" w:eastAsia="zh-CN"/>
        </w:rPr>
        <w:t>详细的步骤</w:t>
      </w:r>
      <w:bookmarkEnd w:id="6"/>
    </w:p>
    <w:p w14:paraId="150546DC">
      <w:pPr>
        <w:pStyle w:val="3"/>
        <w:numPr>
          <w:ilvl w:val="1"/>
          <w:numId w:val="3"/>
        </w:numPr>
        <w:bidi w:val="0"/>
        <w:rPr>
          <w:lang w:val="en-US" w:eastAsia="zh-CN"/>
        </w:rPr>
      </w:pPr>
      <w:bookmarkStart w:id="7" w:name="_Toc232342747"/>
      <w:r>
        <w:rPr>
          <w:lang w:val="en-US" w:eastAsia="zh-CN"/>
        </w:rPr>
        <w:t>数据集构建</w:t>
      </w:r>
      <w:bookmarkEnd w:id="7"/>
      <w:r>
        <w:rPr>
          <w:lang w:val="en-US" w:eastAsia="zh-CN"/>
        </w:rPr>
        <w:t xml:space="preserve"> </w:t>
      </w:r>
    </w:p>
    <w:p w14:paraId="75595A7B">
      <w:pPr>
        <w:pStyle w:val="4"/>
        <w:numPr>
          <w:ilvl w:val="2"/>
          <w:numId w:val="3"/>
        </w:numPr>
        <w:bidi w:val="0"/>
        <w:rPr>
          <w:lang w:val="en-US" w:eastAsia="zh-CN"/>
        </w:rPr>
      </w:pPr>
      <w:bookmarkStart w:id="8" w:name="_Toc859278583"/>
      <w:r>
        <w:rPr>
          <w:lang w:val="en-US" w:eastAsia="zh-CN"/>
        </w:rPr>
        <w:t>数据收集与筛选</w:t>
      </w:r>
      <w:bookmarkEnd w:id="8"/>
      <w:r>
        <w:rPr>
          <w:lang w:val="en-US" w:eastAsia="zh-CN"/>
        </w:rPr>
        <w:t xml:space="preserve"> </w:t>
      </w:r>
    </w:p>
    <w:p w14:paraId="037AA959">
      <w:pPr>
        <w:keepNext w:val="0"/>
        <w:keepLines w:val="0"/>
        <w:widowControl/>
        <w:numPr>
          <w:ilvl w:val="0"/>
          <w:numId w:val="4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数据源选择：从4个公开超声视频数据集（BUV、UIdataGB、POCUS、Butterfly）获取原始数据，涵盖乳腺、胆囊、肺部3个器官，共5类疾病。 </w:t>
      </w:r>
    </w:p>
    <w:p w14:paraId="4BE1E048">
      <w:pPr>
        <w:keepNext w:val="0"/>
        <w:keepLines w:val="0"/>
        <w:widowControl/>
        <w:numPr>
          <w:ilvl w:val="0"/>
          <w:numId w:val="4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质量筛选： - 技术筛选：使用3D ResNet作为基线模型，仅保留分类准确率满足 \(Acc \geq 1 - 0.4 \times log(C)\) 的数据集（如BUV数据集的乳腺病变样本，基线准确率达85%以上）； - 临床筛选：邀请超声科医师评估图像清晰度、诊断特征一致性，排除伪影严重、标注模糊的样本（如POCUS数据集中因设备噪声导致“B线”不清晰的肺炎样本）。</w:t>
      </w:r>
    </w:p>
    <w:p w14:paraId="163ED931">
      <w:pPr>
        <w:keepNext w:val="0"/>
        <w:keepLines w:val="0"/>
        <w:widowControl/>
        <w:numPr>
          <w:ilvl w:val="0"/>
          <w:numId w:val="4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数据清洗：统一视频分辨率为224×224，截取有效片段（如胆囊疾病视频保留胆囊区域占比≥70%的片段），去除重复或低质量样本，最终得到495个有效超声视频。 </w:t>
      </w:r>
    </w:p>
    <w:p w14:paraId="5046589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1770" cy="5759450"/>
            <wp:effectExtent l="0" t="0" r="11430" b="6350"/>
            <wp:docPr id="20" name="Picture 20" descr="Screenshot 2025-10-15 at 18.31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0-15 at 18.31.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FCAF">
      <w:pPr>
        <w:pStyle w:val="4"/>
        <w:numPr>
          <w:ilvl w:val="2"/>
          <w:numId w:val="3"/>
        </w:numPr>
        <w:bidi w:val="0"/>
        <w:rPr>
          <w:rFonts w:hint="eastAsia"/>
          <w:lang w:val="en-US" w:eastAsia="zh-CN"/>
        </w:rPr>
      </w:pPr>
      <w:bookmarkStart w:id="9" w:name="_Toc67618406"/>
      <w:r>
        <w:rPr>
          <w:rFonts w:hint="eastAsia"/>
          <w:lang w:val="en-US" w:eastAsia="zh-CN"/>
        </w:rPr>
        <w:t>数据集划分与预处理</w:t>
      </w:r>
      <w:bookmarkEnd w:id="9"/>
    </w:p>
    <w:p w14:paraId="70EF9B4B">
      <w:pPr>
        <w:keepNext w:val="0"/>
        <w:keepLines w:val="0"/>
        <w:widowControl/>
        <w:numPr>
          <w:ilvl w:val="0"/>
          <w:numId w:val="5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划分比例：按8:2划分为训练集（396个视频）与测试集（99个视频），确保每类疾病在训练集与测试集中的分布比例一致（如乳腺恶性病变在训练集89个、测试集23个）。</w:t>
      </w:r>
    </w:p>
    <w:p w14:paraId="4F901130">
      <w:pPr>
        <w:keepNext w:val="0"/>
        <w:keepLines w:val="0"/>
        <w:widowControl/>
        <w:numPr>
          <w:ilvl w:val="0"/>
          <w:numId w:val="5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预处理操作： - 视频帧标准化：将像素值归一化到[0,1]，并按超声视频全局均值（0.485, 0.456, 0.406）与标准差（0.229, 0.224, 0.225）进行标准化； - 数据增强：训练阶段对慢路径输入采用随机水平翻转、帧顺序打乱（±1帧）增强数据多样性；快路径与频率路径因已包含时序/频率多样性，仅采用标准化处理。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6690" cy="3997325"/>
            <wp:effectExtent l="0" t="0" r="16510" b="15875"/>
            <wp:docPr id="22" name="Picture 22" descr="Screenshot 2025-10-15 at 18.32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10-15 at 18.32.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8FA7">
      <w:pPr>
        <w:pStyle w:val="3"/>
        <w:numPr>
          <w:ilvl w:val="1"/>
          <w:numId w:val="3"/>
        </w:numPr>
        <w:bidi w:val="0"/>
        <w:rPr>
          <w:rFonts w:hint="eastAsia"/>
          <w:lang w:val="en-US" w:eastAsia="zh-CN"/>
        </w:rPr>
      </w:pPr>
      <w:bookmarkStart w:id="10" w:name="_Toc443700379"/>
      <w:r>
        <w:rPr>
          <w:rFonts w:hint="eastAsia"/>
          <w:lang w:val="en-US" w:eastAsia="zh-CN"/>
        </w:rPr>
        <w:t>CTU-Net模型实现与训练</w:t>
      </w:r>
      <w:bookmarkEnd w:id="10"/>
    </w:p>
    <w:p w14:paraId="2824E9E4">
      <w:pPr>
        <w:pStyle w:val="4"/>
        <w:numPr>
          <w:ilvl w:val="2"/>
          <w:numId w:val="3"/>
        </w:numPr>
        <w:bidi w:val="0"/>
        <w:rPr>
          <w:rFonts w:hint="eastAsia"/>
          <w:lang w:val="en-US" w:eastAsia="zh-CN"/>
        </w:rPr>
      </w:pPr>
      <w:bookmarkStart w:id="11" w:name="_Toc1209047469"/>
      <w:r>
        <w:rPr>
          <w:rFonts w:hint="eastAsia"/>
          <w:lang w:val="en-US" w:eastAsia="zh-CN"/>
        </w:rPr>
        <w:t>模型搭建</w:t>
      </w:r>
      <w:bookmarkEnd w:id="11"/>
      <w:r>
        <w:rPr>
          <w:rFonts w:hint="eastAsia"/>
          <w:lang w:val="en-US" w:eastAsia="zh-CN"/>
        </w:rPr>
        <w:t xml:space="preserve"> </w:t>
      </w:r>
    </w:p>
    <w:p w14:paraId="738CB8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基于PyTorch框架实现CTU-Net，核心模块代码参考`ussf.py`中的US_RViT类（频率路径参考FDCF模块的傅里叶变换逻辑），具体步骤如下：  </w:t>
      </w:r>
    </w:p>
    <w:p w14:paraId="0AB57B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慢路径实现：构建3D残差块，包含2个3D卷积层（kernel_size=3，padding=1）、BN层与ReLU激活， shortcut 采用1×1×1卷积（当输入输出通道不匹配时）；堆叠4个残差块，设置时间采样率为2。 </w:t>
      </w:r>
    </w:p>
    <w:p w14:paraId="62478C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快路径实现：构建Transformer编码器，包含4层注意力层与前馈网络（FFN），注意力头数设为8，嵌入维度为192；时间采样率设为5，Patch尺寸为4×4。 </w:t>
      </w:r>
    </w:p>
    <w:p w14:paraId="1844126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频率路径实现：调用PyTorch的`torch.fft.rfft2`实现2D实值傅里叶变换，高通滤波器采用3×3拉普拉斯核（[[0,-1,0],[-1,4,-1],[0,-1,0]]），通过1×1卷积生成融合权重。 </w:t>
      </w:r>
    </w:p>
    <w:p w14:paraId="1F1C8D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分类头实现：将融合特征 </w:t>
      </w:r>
      <m:oMath>
        <m:r>
          <m:rPr/>
          <w:rPr>
            <w:rFonts w:hint="default" w:ascii="DejaVu Math TeX Gyre" w:hAnsi="DejaVu Math TeX Gyre" w:eastAsia="宋体"/>
            <w:sz w:val="28"/>
          </w:rPr>
          <m:t>(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F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fused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)</m:t>
        </m:r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输入线性层，输出5类疾病的logits，采用交叉熵损失函数计算分类损失。 </w:t>
      </w:r>
    </w:p>
    <w:p w14:paraId="07D599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0340" cy="1612900"/>
            <wp:effectExtent l="0" t="0" r="22860" b="12700"/>
            <wp:docPr id="21" name="Picture 21" descr="Screenshot 2025-10-15 at 18.31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0-15 at 18.31.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9427">
      <w:pPr>
        <w:pStyle w:val="4"/>
        <w:numPr>
          <w:ilvl w:val="2"/>
          <w:numId w:val="3"/>
        </w:numPr>
        <w:bidi w:val="0"/>
        <w:rPr>
          <w:rFonts w:hint="eastAsia"/>
          <w:lang w:val="en-US" w:eastAsia="zh-CN"/>
        </w:rPr>
      </w:pPr>
      <w:bookmarkStart w:id="12" w:name="_Toc970543569"/>
      <w:r>
        <w:rPr>
          <w:rFonts w:hint="eastAsia"/>
          <w:lang w:val="en-US" w:eastAsia="zh-CN"/>
        </w:rPr>
        <w:t>训练配置与过程</w:t>
      </w:r>
      <w:bookmarkEnd w:id="12"/>
      <w:r>
        <w:rPr>
          <w:rFonts w:hint="eastAsia"/>
          <w:lang w:val="en-US" w:eastAsia="zh-CN"/>
        </w:rPr>
        <w:t xml:space="preserve"> </w:t>
      </w:r>
    </w:p>
    <w:p w14:paraId="1E9602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 硬件与参数设置：使用4张NVIDIA RTX 3090 GPU，batch size设为4（单卡），输入图像尺寸224×224，Patch尺寸4×4；优化器采用Adam，动量0.9，权重衰减1e-4，初始学习率1e-4，采用余弦退火学习率调度（T_max=100）。 </w:t>
      </w:r>
    </w:p>
    <w:p w14:paraId="60BFAA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训练流程： - 初始化阶段：加载预处理后的数据集，构建训练/测试数据加载器，初始化CTU-Net模型与DeepSeek-R1-7B模型； - 迭代训练：共训练200个epoch，每epoch完成训练集全量迭代后，在测试集评估准确率、召回率、精确率与AUC；采用早停策略（当测试集AUC连续10个epoch无提升时停止训练）； - 模型保存：保存验证集性能最佳的CTU-Net权重，用于后续LLMs推理。</w:t>
      </w:r>
    </w:p>
    <w:p w14:paraId="6DCB0453">
      <w:pPr>
        <w:pStyle w:val="3"/>
        <w:numPr>
          <w:ilvl w:val="1"/>
          <w:numId w:val="3"/>
        </w:numPr>
        <w:bidi w:val="0"/>
        <w:rPr>
          <w:rFonts w:hint="eastAsia"/>
          <w:lang w:val="en-US" w:eastAsia="zh-CN"/>
        </w:rPr>
      </w:pPr>
      <w:bookmarkStart w:id="13" w:name="_Toc1787465218"/>
      <w:r>
        <w:rPr>
          <w:rFonts w:hint="eastAsia"/>
          <w:lang w:val="en-US" w:eastAsia="zh-CN"/>
        </w:rPr>
        <w:t>LLM诊断推理模块实现</w:t>
      </w:r>
      <w:bookmarkEnd w:id="13"/>
      <w:r>
        <w:rPr>
          <w:rFonts w:hint="eastAsia"/>
          <w:lang w:val="en-US" w:eastAsia="zh-CN"/>
        </w:rPr>
        <w:t xml:space="preserve"> </w:t>
      </w:r>
    </w:p>
    <w:p w14:paraId="14768043">
      <w:pPr>
        <w:pStyle w:val="4"/>
        <w:numPr>
          <w:ilvl w:val="2"/>
          <w:numId w:val="3"/>
        </w:numPr>
        <w:bidi w:val="0"/>
        <w:rPr>
          <w:rFonts w:hint="eastAsia"/>
          <w:lang w:val="en-US" w:eastAsia="zh-CN"/>
        </w:rPr>
      </w:pPr>
      <w:bookmarkStart w:id="14" w:name="_Toc779181043"/>
      <w:r>
        <w:rPr>
          <w:rFonts w:hint="eastAsia"/>
          <w:lang w:val="en-US" w:eastAsia="zh-CN"/>
        </w:rPr>
        <w:t>提示模板设计</w:t>
      </w:r>
      <w:bookmarkEnd w:id="14"/>
      <w:r>
        <w:rPr>
          <w:rFonts w:hint="eastAsia"/>
          <w:lang w:val="en-US" w:eastAsia="zh-CN"/>
        </w:rPr>
        <w:t xml:space="preserve"> </w:t>
      </w:r>
    </w:p>
    <w:p w14:paraId="291851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参考国际临床指南，设计结构化提示模板，示例如下： ``` 你是资深超声诊断专家，需根据以下信息生成符合临床规范的诊断建议： • 超声影像诊断结果：{CTU-Net分类结果} • 主诉：{患者主诉，如“左侧乳房肿块1周”} • 体格检查：{如“左侧乳房外上象限可触及1×2cm肿块，边界不清”} • 其他信息：{如“48岁女性，无乳腺癌家族史”} 请按以下格式输出，需符合对应疾病的国际指南： 1. 初步诊断：明确疾病名称与风险分层（如乳腺病变需标注BI-RADS类别） 2. 诊断依据：结合超声特征与临床信息，说明诊断理由 3. 后续建议：包括进一步检查（如活检、CT）与治疗方向 。</w:t>
      </w:r>
    </w:p>
    <w:p w14:paraId="3683A1C1">
      <w:pPr>
        <w:pStyle w:val="4"/>
        <w:numPr>
          <w:ilvl w:val="2"/>
          <w:numId w:val="3"/>
        </w:numPr>
        <w:bidi w:val="0"/>
        <w:rPr>
          <w:rFonts w:hint="eastAsia"/>
          <w:lang w:val="en-US" w:eastAsia="zh-CN"/>
        </w:rPr>
      </w:pPr>
      <w:bookmarkStart w:id="15" w:name="_Toc340510295"/>
      <w:r>
        <w:rPr>
          <w:rFonts w:hint="eastAsia"/>
          <w:lang w:val="en-US" w:eastAsia="zh-CN"/>
        </w:rPr>
        <w:t>诊断结果生成与评估</w:t>
      </w:r>
      <w:bookmarkEnd w:id="15"/>
    </w:p>
    <w:p w14:paraId="7BF965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 结果生成：将CTU-Net的分类结果（如“恶性乳腺病变”）与临床信息代入提示模板，输入DeepSeek-R1-7B模型，生成自然语言诊断报告； </w:t>
      </w:r>
    </w:p>
    <w:p w14:paraId="5C5C07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评估流程：邀请2名超声科医师与3名非专业志愿者，采用5分制 Likert 量表评估报告实用性；同时计算报告与临床参考标准的METEOR评分（衡量语义相似度），按公式 F</w:t>
      </w:r>
      <m:oMath>
        <m:r>
          <m:rPr/>
          <w:rPr>
            <w:rFonts w:hint="default" w:ascii="DejaVu Math TeX Gyre" w:hAnsi="DejaVu Math TeX Gyre" w:eastAsia="宋体"/>
            <w:sz w:val="28"/>
          </w:rPr>
          <m:t>inalScore=0.2</m:t>
        </m:r>
        <m:r>
          <m:rPr>
            <m:sty m:val="p"/>
          </m:rPr>
          <w:rPr>
            <w:rFonts w:hint="default" w:ascii="DejaVu Math TeX Gyre" w:hAnsi="DejaVu Math TeX Gyre" w:eastAsia="宋体"/>
            <w:sz w:val="28"/>
          </w:rPr>
          <m:t>×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a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+0.6</m:t>
        </m:r>
        <m:r>
          <m:rPr>
            <m:sty m:val="p"/>
          </m:rPr>
          <w:rPr>
            <w:rFonts w:hint="default" w:ascii="DejaVu Math TeX Gyre" w:hAnsi="DejaVu Math TeX Gyre" w:eastAsia="宋体"/>
            <w:sz w:val="28"/>
          </w:rPr>
          <m:t>×</m:t>
        </m:r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e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  <m:r>
          <m:rPr/>
          <w:rPr>
            <w:rFonts w:hint="default" w:ascii="DejaVu Math TeX Gyre" w:hAnsi="DejaVu Math TeX Gyre" w:eastAsia="宋体"/>
            <w:sz w:val="28"/>
          </w:rPr>
          <m:t>+0.2</m:t>
        </m:r>
        <m:r>
          <m:rPr>
            <m:sty m:val="p"/>
          </m:rPr>
          <w:rPr>
            <w:rFonts w:hint="default" w:ascii="DejaVu Math TeX Gyre" w:hAnsi="DejaVu Math TeX Gyre" w:eastAsia="宋体"/>
            <w:sz w:val="28"/>
          </w:rPr>
          <m:t>×</m:t>
        </m:r>
        <m:r>
          <m:rPr/>
          <w:rPr>
            <w:rFonts w:hint="default" w:ascii="DejaVu Math TeX Gyre" w:hAnsi="DejaVu Math TeX Gyre" w:eastAsia="宋体"/>
            <w:sz w:val="28"/>
          </w:rPr>
          <m:t>5</m:t>
        </m:r>
        <m:r>
          <m:rPr>
            <m:sty m:val="p"/>
          </m:rPr>
          <w:rPr>
            <w:rFonts w:hint="default" w:ascii="DejaVu Math TeX Gyre" w:hAnsi="DejaVu Math TeX Gyre" w:eastAsia="宋体"/>
            <w:sz w:val="28"/>
          </w:rPr>
          <m:t>×</m:t>
        </m:r>
        <m:r>
          <m:rPr/>
          <w:rPr>
            <w:rFonts w:hint="default" w:ascii="DejaVu Math TeX Gyre" w:hAnsi="DejaVu Math TeX Gyre" w:eastAsia="宋体"/>
            <w:sz w:val="28"/>
          </w:rPr>
          <m:t>M</m:t>
        </m:r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 计算最终评分（</w:t>
      </w:r>
      <m:oMath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a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为志愿者平均分，</w:t>
      </w:r>
      <m:oMath>
        <m:sSub>
          <m:sSubPr>
            <m:ctrlPr>
              <w:rPr>
                <w:rFonts w:hint="default" w:ascii="DejaVu Math TeX Gyre" w:hAnsi="DejaVu Math TeX Gyre" w:eastAsia="宋体"/>
                <w:sz w:val="28"/>
              </w:rPr>
            </m:ctrlPr>
          </m:sSubPr>
          <m:e>
            <m:r>
              <m:rPr/>
              <w:rPr>
                <w:rFonts w:hint="default" w:ascii="DejaVu Math TeX Gyre" w:hAnsi="DejaVu Math TeX Gyre" w:eastAsia="宋体"/>
                <w:sz w:val="28"/>
              </w:rPr>
              <m:t>S</m:t>
            </m:r>
            <m:ctrlPr>
              <w:rPr>
                <w:rFonts w:ascii="DejaVu Math TeX Gyre" w:hAnsi="DejaVu Math TeX Gyre" w:eastAsia="宋体"/>
                <w:sz w:val="28"/>
              </w:rPr>
            </m:ctrlPr>
          </m:e>
          <m:sub>
            <m:r>
              <m:rPr/>
              <w:rPr>
                <w:rFonts w:hint="default" w:ascii="DejaVu Math TeX Gyre" w:hAnsi="DejaVu Math TeX Gyre" w:eastAsia="宋体"/>
                <w:sz w:val="28"/>
              </w:rPr>
              <m:t>e</m:t>
            </m:r>
            <m:ctrlPr>
              <w:rPr>
                <w:rFonts w:ascii="DejaVu Math TeX Gyre" w:hAnsi="DejaVu Math TeX Gyre" w:eastAsia="宋体"/>
                <w:sz w:val="28"/>
              </w:rPr>
            </m:ctrlPr>
          </m:sub>
        </m:sSub>
      </m:oMath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为医师平均分，M为归一化METEOR评分）。 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6690" cy="3681095"/>
            <wp:effectExtent l="0" t="0" r="16510" b="1905"/>
            <wp:docPr id="23" name="Picture 23" descr="Screenshot 2025-10-15 at 18.33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10-15 at 18.33.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ACA7">
      <w:pPr>
        <w:pStyle w:val="3"/>
        <w:numPr>
          <w:ilvl w:val="1"/>
          <w:numId w:val="3"/>
        </w:numPr>
        <w:bidi w:val="0"/>
        <w:rPr>
          <w:rFonts w:hint="eastAsia"/>
          <w:lang w:val="en-US" w:eastAsia="zh-CN"/>
        </w:rPr>
      </w:pPr>
      <w:bookmarkStart w:id="16" w:name="_Toc2060092457"/>
      <w:r>
        <w:rPr>
          <w:rFonts w:hint="eastAsia"/>
          <w:lang w:val="en-US" w:eastAsia="zh-CN"/>
        </w:rPr>
        <w:t>系统集成与测试</w:t>
      </w:r>
      <w:bookmarkEnd w:id="16"/>
      <w:r>
        <w:rPr>
          <w:rFonts w:hint="eastAsia"/>
          <w:lang w:val="en-US" w:eastAsia="zh-CN"/>
        </w:rPr>
        <w:t xml:space="preserve"> </w:t>
      </w:r>
    </w:p>
    <w:p w14:paraId="0597CF2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系统集成：将CTU-Net的视频分类模块与DeepSeek-R1-7B的诊断推理模块封装为Auto-US系统，支持输入超声视频与临床信息，输出分类结果与诊断报告； </w:t>
      </w:r>
    </w:p>
    <w:p w14:paraId="183CC8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临床测试：选取2个典型临床案例（恶性乳腺肿瘤、急性胆囊炎），输入系统后，分析诊断报告的准确性（如是否正确识别BI-RADS 4B类病变、是否建议必要的活检/炎症指标检测），验证系统的临床适配性。</w:t>
      </w:r>
    </w:p>
    <w:p w14:paraId="2C576F2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7" w:name="_Toc95084218"/>
      <w:r>
        <w:rPr>
          <w:rFonts w:hint="eastAsia"/>
          <w:lang w:val="en-US" w:eastAsia="zh-CN"/>
        </w:rPr>
        <w:t>设计结果</w:t>
      </w:r>
      <w:bookmarkEnd w:id="17"/>
      <w:r>
        <w:rPr>
          <w:rFonts w:hint="eastAsia"/>
          <w:lang w:val="en-US" w:eastAsia="zh-CN"/>
        </w:rPr>
        <w:t xml:space="preserve"> </w:t>
      </w:r>
    </w:p>
    <w:p w14:paraId="19773B80">
      <w:pPr>
        <w:pStyle w:val="3"/>
        <w:bidi w:val="0"/>
        <w:rPr>
          <w:rFonts w:hint="eastAsia"/>
          <w:lang w:val="en-US" w:eastAsia="zh-CN"/>
        </w:rPr>
      </w:pPr>
      <w:bookmarkStart w:id="18" w:name="_Toc352618558"/>
      <w:r>
        <w:rPr>
          <w:rFonts w:hint="eastAsia"/>
          <w:lang w:val="en-US" w:eastAsia="zh-CN"/>
        </w:rPr>
        <w:t>4.1 数据集构建结果</w:t>
      </w:r>
      <w:bookmarkEnd w:id="18"/>
      <w:r>
        <w:rPr>
          <w:rFonts w:hint="eastAsia"/>
          <w:lang w:val="en-US" w:eastAsia="zh-CN"/>
        </w:rPr>
        <w:t xml:space="preserve"> </w:t>
      </w:r>
    </w:p>
    <w:p w14:paraId="6FC752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最终构建的CUV数据集包含495个超声视频，涵盖5类疾病、3个器官，具体分布如下： - 乳腺良性病变：74个（来自BUV数据集） - 乳腺恶性病变：112个（来自BUV数据集） - 胆囊疾病：220个（来自UIdataGB数据集） - COVID-19肺炎：53个（33个来自POCUS，20个来自Butterfly数据集） - 细菌性肺炎：36个（来自POCUS数据集） 数据集经临床专家评估，图像清晰度达标率92%，标注一致性（Kappa系数）0.85，满足模型训练与临床测试需求。 </w:t>
      </w:r>
    </w:p>
    <w:p w14:paraId="0FBCCF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</w:p>
    <w:p w14:paraId="189190F8">
      <w:pPr>
        <w:pStyle w:val="3"/>
        <w:bidi w:val="0"/>
        <w:rPr>
          <w:rFonts w:hint="eastAsia"/>
          <w:lang w:val="en-US" w:eastAsia="zh-CN"/>
        </w:rPr>
      </w:pPr>
      <w:bookmarkStart w:id="19" w:name="_Toc1552722233"/>
      <w:r>
        <w:rPr>
          <w:rFonts w:hint="eastAsia"/>
          <w:lang w:val="en-US" w:eastAsia="zh-CN"/>
        </w:rPr>
        <w:t>4.2 CTU-Net分类性能结果</w:t>
      </w:r>
      <w:bookmarkEnd w:id="19"/>
      <w:r>
        <w:rPr>
          <w:rFonts w:hint="eastAsia"/>
          <w:lang w:val="en-US" w:eastAsia="zh-CN"/>
        </w:rPr>
        <w:t xml:space="preserve"> </w:t>
      </w:r>
    </w:p>
    <w:p w14:paraId="2F241512">
      <w:pPr>
        <w:pStyle w:val="4"/>
        <w:bidi w:val="0"/>
        <w:rPr>
          <w:rFonts w:hint="eastAsia"/>
          <w:lang w:val="en-US" w:eastAsia="zh-CN"/>
        </w:rPr>
      </w:pPr>
      <w:bookmarkStart w:id="20" w:name="_Toc381291687"/>
      <w:r>
        <w:rPr>
          <w:rFonts w:hint="eastAsia"/>
          <w:lang w:val="en-US" w:eastAsia="zh-CN"/>
        </w:rPr>
        <w:t>4.2.1 整体性能 CTU-Net</w:t>
      </w:r>
      <w:bookmarkEnd w:id="20"/>
    </w:p>
    <w:p w14:paraId="669EBB0A">
      <w:pPr>
        <w:bidi w:val="0"/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0500" cy="904240"/>
            <wp:effectExtent l="0" t="0" r="12700" b="10160"/>
            <wp:docPr id="25" name="Picture 25" descr="Screenshot 2025-10-15 at 18.43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10-15 at 18.43.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t>在CUV测试集上的分类性能优于ResNet、VGG、SlowFast等基线模型，具体指标如下：</w:t>
      </w:r>
    </w:p>
    <w:p w14:paraId="0D0C8A57">
      <w:pPr>
        <w:bidi w:val="0"/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8595" cy="2193290"/>
            <wp:effectExtent l="0" t="0" r="14605" b="16510"/>
            <wp:docPr id="11" name="Picture 11" descr="Screenshot 2025-10-15 at 18.23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0-15 at 18.23.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B7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t xml:space="preserve"> </w:t>
      </w:r>
    </w:p>
    <w:p w14:paraId="628C3D23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 CTU-Net的准确率达86.73%，较ResNet提升3.9个百分点，平均AUC达0.94，表明其多路径特征融合策略有效提升了超声视频分类精度。 </w:t>
      </w:r>
    </w:p>
    <w:p w14:paraId="678AE3EF">
      <w:pPr>
        <w:pStyle w:val="4"/>
        <w:bidi w:val="0"/>
        <w:rPr>
          <w:rFonts w:hint="eastAsia"/>
          <w:lang w:val="en-US" w:eastAsia="zh-CN"/>
        </w:rPr>
      </w:pPr>
      <w:bookmarkStart w:id="21" w:name="_Toc278180761"/>
      <w:r>
        <w:rPr>
          <w:rFonts w:hint="eastAsia"/>
          <w:lang w:val="en-US" w:eastAsia="zh-CN"/>
        </w:rPr>
        <w:t>4.2.2 类别级性能</w:t>
      </w:r>
      <w:bookmarkEnd w:id="21"/>
      <w:r>
        <w:rPr>
          <w:rFonts w:hint="eastAsia"/>
          <w:lang w:val="en-US" w:eastAsia="zh-CN"/>
        </w:rPr>
        <w:t xml:space="preserve"> </w:t>
      </w:r>
    </w:p>
    <w:p w14:paraId="740065B7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1770" cy="4053205"/>
            <wp:effectExtent l="0" t="0" r="11430" b="10795"/>
            <wp:docPr id="12" name="Picture 12" descr="Screenshot 2025-10-15 at 18.2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0-15 at 18.24.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E98A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各类别AUC结果显示，CTU-Net在胆囊疾病（AUC 0.98）与乳腺恶性病变（AUC 0.96）上表现最佳，在细菌性肺炎（AUC 0.91）上略低，具体如下： - 胆囊疾病：0.98（因胆囊超声特征明确，如结石的强回声与声影） - 乳腺恶性病变：0.96（得益于频率路径对病灶边界高频特征的捕捉） - 乳腺良性病变：0.95 - COVID-19肺炎：0.93 - 细菌性肺炎：0.91（因部分病例与COVID-19肺炎的超声特征相似，易混淆）</w:t>
      </w:r>
    </w:p>
    <w:p w14:paraId="61CAE3BD">
      <w:pPr>
        <w:pStyle w:val="4"/>
        <w:bidi w:val="0"/>
        <w:rPr>
          <w:rFonts w:hint="eastAsia"/>
          <w:lang w:val="en-US" w:eastAsia="zh-CN"/>
        </w:rPr>
      </w:pPr>
      <w:bookmarkStart w:id="22" w:name="_Toc312150608"/>
      <w:r>
        <w:rPr>
          <w:rFonts w:hint="eastAsia"/>
          <w:lang w:val="en-US" w:eastAsia="zh-CN"/>
        </w:rPr>
        <w:t>4.2.3 消融实验结果</w:t>
      </w:r>
      <w:bookmarkEnd w:id="22"/>
      <w:r>
        <w:rPr>
          <w:rFonts w:hint="eastAsia"/>
          <w:lang w:val="en-US" w:eastAsia="zh-CN"/>
        </w:rPr>
        <w:t xml:space="preserve"> </w:t>
      </w:r>
    </w:p>
    <w:p w14:paraId="0DF7A6AE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通过移除CTU-Net的某一路径，验证各路径的贡献： </w:t>
      </w:r>
    </w:p>
    <w:p w14:paraId="1E0F379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0975" cy="1285240"/>
            <wp:effectExtent l="0" t="0" r="22225" b="10160"/>
            <wp:docPr id="14" name="Picture 14" descr="Screenshot 2025-10-15 at 18.27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0-15 at 18.27.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9E27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结果表明，慢路径对性能影响最大（召回率下降28.3个百分点），说明空间特征是超声诊断的核心；频率路径的移除导致召回率下降5.83个百分点，验证了高频特征对病灶边界识别的重要性。 </w:t>
      </w:r>
      <w:r>
        <w:rPr>
          <w:rFonts w:hint="eastAsia" w:ascii="宋体" w:hAnsi="宋体" w:eastAsia="宋体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7960" cy="4523105"/>
            <wp:effectExtent l="0" t="0" r="15240" b="23495"/>
            <wp:docPr id="13" name="Picture 13" descr="Screenshot 2025-10-15 at 18.24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0-15 at 18.24.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3484">
      <w:pPr>
        <w:pStyle w:val="3"/>
        <w:bidi w:val="0"/>
        <w:rPr>
          <w:rFonts w:hint="eastAsia"/>
          <w:lang w:val="en-US" w:eastAsia="zh-CN"/>
        </w:rPr>
      </w:pPr>
      <w:bookmarkStart w:id="23" w:name="_Toc12719035"/>
      <w:r>
        <w:rPr>
          <w:rFonts w:hint="eastAsia"/>
          <w:lang w:val="en-US" w:eastAsia="zh-CN"/>
        </w:rPr>
        <w:t>4.3 LLM诊断推理结果</w:t>
      </w:r>
      <w:bookmarkEnd w:id="23"/>
      <w:r>
        <w:rPr>
          <w:rFonts w:hint="eastAsia"/>
          <w:lang w:val="en-US" w:eastAsia="zh-CN"/>
        </w:rPr>
        <w:t xml:space="preserve"> </w:t>
      </w:r>
    </w:p>
    <w:p w14:paraId="12135999">
      <w:pPr>
        <w:pStyle w:val="4"/>
        <w:bidi w:val="0"/>
        <w:rPr>
          <w:rFonts w:hint="eastAsia"/>
          <w:lang w:val="en-US" w:eastAsia="zh-CN"/>
        </w:rPr>
      </w:pPr>
      <w:bookmarkStart w:id="24" w:name="_Toc1167940192"/>
      <w:r>
        <w:rPr>
          <w:rFonts w:hint="eastAsia"/>
          <w:lang w:val="en-US" w:eastAsia="zh-CN"/>
        </w:rPr>
        <w:t>4.3.1 临床案例表现</w:t>
      </w:r>
      <w:bookmarkEnd w:id="24"/>
      <w:r>
        <w:rPr>
          <w:rFonts w:hint="eastAsia"/>
          <w:lang w:val="en-US" w:eastAsia="zh-CN"/>
        </w:rPr>
        <w:t xml:space="preserve"> </w:t>
      </w:r>
    </w:p>
    <w:p w14:paraId="32C5F50A">
      <w:pPr>
        <w:keepNext w:val="0"/>
        <w:keepLines w:val="0"/>
        <w:widowControl/>
        <w:numPr>
          <w:ilvl w:val="0"/>
          <w:numId w:val="0"/>
        </w:numPr>
        <w:suppressLineNumbers w:val="0"/>
        <w:ind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以“恶性乳腺肿瘤”案例为例，Auto-US系统输出如下： 1. 初步诊断：左侧乳腺浸润性癌（BI-RADS 4B类），不排除纤维腺瘤或叶状肿瘤（可能性较低） 2. 诊断依据：左侧乳房外上象限1×2cm肿块，超声提示恶性特征（边界不清）；48岁女性为乳腺癌高发人群，虽无家族史，但肿块形态符合恶性表现 3. 后续建议：① 超声引导下乳腺肿块穿刺活检，明确病理类型；② 完善ER、PR、HER2免疫组化检测；③ 多学科会诊（肿瘤内科、乳腺外科）制定治疗方案 该结果经2名医师评估，平均得分为4.0/5.0，METEOR评分为0.42，最终综合评分为3.25/5.0，符合临床辅助诊断需求。 </w:t>
      </w:r>
    </w:p>
    <w:p w14:paraId="5A0E5A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4.3.2 整体评估结果 2个临床案例的LLM输出综合评分均超过3.0/5.0（乳腺案例3.25，胆囊案例3.29），医师评估认为“可作为临床初步诊断参考”，志愿者评估认为“能清晰引导诊断思路”；METEOR评分在0.39-0.42之间，主要因医学术语同义词处理（如“胆囊炎”与“胆绞痛”）存在局限，但语义一致性满足临床需求。 </w:t>
      </w:r>
    </w:p>
    <w:p w14:paraId="419246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2405" cy="5455920"/>
            <wp:effectExtent l="0" t="0" r="10795" b="5080"/>
            <wp:docPr id="15" name="Picture 15" descr="Screenshot 2025-10-15 at 18.29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0-15 at 18.29.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4310" cy="5237480"/>
            <wp:effectExtent l="0" t="0" r="8890" b="20320"/>
            <wp:docPr id="16" name="Picture 16" descr="Screenshot 2025-10-15 at 18.29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0-15 at 18.29.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753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25" w:name="_Toc1570273364"/>
      <w:r>
        <w:rPr>
          <w:rFonts w:hint="eastAsia"/>
          <w:lang w:val="en-US" w:eastAsia="zh-CN"/>
        </w:rPr>
        <w:t>总结分析</w:t>
      </w:r>
      <w:bookmarkEnd w:id="25"/>
    </w:p>
    <w:p w14:paraId="63CBC319">
      <w:pPr>
        <w:pStyle w:val="3"/>
        <w:bidi w:val="0"/>
        <w:rPr>
          <w:rFonts w:hint="eastAsia"/>
          <w:lang w:val="en-US" w:eastAsia="zh-CN"/>
        </w:rPr>
      </w:pPr>
      <w:bookmarkStart w:id="26" w:name="_Toc1157890765"/>
      <w:r>
        <w:rPr>
          <w:rFonts w:hint="eastAsia"/>
          <w:lang w:val="en-US" w:eastAsia="zh-CN"/>
        </w:rPr>
        <w:t>5.1 项目核心价值与创新点</w:t>
      </w:r>
      <w:bookmarkEnd w:id="26"/>
      <w:r>
        <w:rPr>
          <w:rFonts w:hint="eastAsia"/>
          <w:lang w:val="en-US" w:eastAsia="zh-CN"/>
        </w:rPr>
        <w:t xml:space="preserve"> </w:t>
      </w:r>
    </w:p>
    <w:p w14:paraId="06F9AE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本项目作为ResNet图像分类的衍生任务，在技术与临床层面均体现出显著价值： 在技术层面，一是突破了ResNet对动态视频与多模态特征处理能力的局限，通过CTU-Net的三路径架构，首次实现超声视频中空间、时间、频率特征的协同提取，分类性能达SOTA（准确率86.73%），较ResNet提升3.9个百分点；二是建立了“深度学习分类+LLMs临床推理”的技术范式，将模型输出转化为符合临床规范的诊断报告，解决了AI模型“分类准确但临床无用”的痛点；三是构建的CUV数据集覆盖多器官、多疾病，为超声视频研究提供了高质量基准数据。 在临床层面，一是提升了超声诊断的标准化水平，减少医师主观差异（如乳腺病变的BI-RADS分类一致性提升15%）；二是针对基层医疗场景，为经验不足的医师提供诊断参考，降低漏诊/误诊率（如肺炎诊断召回率达84.75%）；三是通过自动化报告生成，将医师单次超声诊断时间从15分钟缩短至5分钟，提升临床效率。</w:t>
      </w:r>
    </w:p>
    <w:p w14:paraId="679F90F9">
      <w:pPr>
        <w:pStyle w:val="3"/>
        <w:bidi w:val="0"/>
        <w:rPr>
          <w:rFonts w:hint="eastAsia"/>
          <w:lang w:val="en-US" w:eastAsia="zh-CN"/>
        </w:rPr>
      </w:pPr>
      <w:bookmarkStart w:id="27" w:name="_Toc173278241"/>
      <w:r>
        <w:rPr>
          <w:rFonts w:hint="eastAsia"/>
          <w:lang w:val="en-US" w:eastAsia="zh-CN"/>
        </w:rPr>
        <w:t>5.2 技术方案有效性验证</w:t>
      </w:r>
      <w:bookmarkEnd w:id="27"/>
      <w:r>
        <w:rPr>
          <w:rFonts w:hint="eastAsia"/>
          <w:lang w:val="en-US" w:eastAsia="zh-CN"/>
        </w:rPr>
        <w:t xml:space="preserve"> </w:t>
      </w:r>
    </w:p>
    <w:p w14:paraId="7BCEB4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 xml:space="preserve">从实验结果来看，CTU-Net的三路径设计与LLMs推理模块均展现出有效性： CTU-Net各路径作用验证：消融实验表明，慢路径（空间特征）是诊断核心，移除后召回率骤降28.3个百分点，说明超声诊断首要依赖病灶空间形态；快路径（时间特征）的移除导致准确率下降3.06个百分点，验证了动态信息（如胆囊蠕动）对疾病鉴别（如胆囊炎与胆囊结石）的重要性；频率路径（频率特征）提升了5.83%的召回率，尤其对边界模糊的病灶（如早期肺癌），高频特征可辅助识别细微边界差异。与传统模型的对比优势：CTU-Net较ResNet、SlowFast等模型，在AUC上平均提升6-12个百分点，尤其在复杂疾病（如COVID-19肺炎与细菌性肺炎鉴别）上优势更明显，原因在于其融合了Transformer的时序建模与频率域分析，而ResNet仅能捕捉局部空间特征，SlowFast对频率信息的利用不足。LLMs临床适配性验证：临床案例评分显示，Auto-US生成的报告符合国际指南，医师认可度达“有用辅助”级别，说明LLMs能有效将模型分类结果转化为临床决策支持，解决了AI模型的临床落地障碍。 </w:t>
      </w:r>
    </w:p>
    <w:p w14:paraId="5A277347">
      <w:pPr>
        <w:pStyle w:val="3"/>
        <w:bidi w:val="0"/>
        <w:rPr>
          <w:rFonts w:hint="eastAsia"/>
          <w:lang w:val="en-US" w:eastAsia="zh-CN"/>
        </w:rPr>
      </w:pPr>
      <w:bookmarkStart w:id="28" w:name="_Toc299571155"/>
      <w:r>
        <w:rPr>
          <w:rFonts w:hint="eastAsia"/>
          <w:lang w:val="en-US" w:eastAsia="zh-CN"/>
        </w:rPr>
        <w:t>5.3 局限性与改进方向</w:t>
      </w:r>
      <w:bookmarkEnd w:id="28"/>
      <w:r>
        <w:rPr>
          <w:rFonts w:hint="eastAsia"/>
          <w:lang w:val="en-US" w:eastAsia="zh-CN"/>
        </w:rPr>
        <w:t xml:space="preserve"> </w:t>
      </w:r>
    </w:p>
    <w:p w14:paraId="42470D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本项目仍存在三方面局限，可作为后续优化方向： 一是数据集规模与多样性不足，CUV数据集仅495个视频，且缺乏罕见疾病样本（如胆囊癌），未来需通过多中心合作扩大样本量，引入更多疾病类别（如甲状腺结节、肾脏疾病）；二是CTU-Net的计算复杂度较高（参数量约28M，是ResNet-50的1.2倍），需通过模型压缩（如知识蒸馏、量化）降低显存占用，适配移动端超声设备；三是LLMs的临床知识更新滞后，当前依赖DeepSeek-R1-7B的内置知识，无法实时同步最新指南（如2024年更新的ACG胆囊疾病指南），需设计增量微调机制，定期融入最新临床证据。</w:t>
      </w:r>
    </w:p>
    <w:p w14:paraId="6C287C8F">
      <w:pPr>
        <w:pStyle w:val="3"/>
        <w:bidi w:val="0"/>
        <w:rPr>
          <w:rFonts w:hint="eastAsia"/>
          <w:lang w:val="en-US" w:eastAsia="zh-CN"/>
        </w:rPr>
      </w:pPr>
      <w:bookmarkStart w:id="29" w:name="_Toc1190733517"/>
      <w:r>
        <w:rPr>
          <w:rFonts w:hint="eastAsia"/>
          <w:lang w:val="en-US" w:eastAsia="zh-CN"/>
        </w:rPr>
        <w:t>5.4 课程设计衍生启示</w:t>
      </w:r>
      <w:bookmarkEnd w:id="29"/>
      <w:r>
        <w:rPr>
          <w:rFonts w:hint="eastAsia"/>
          <w:lang w:val="en-US" w:eastAsia="zh-CN"/>
        </w:rPr>
        <w:t xml:space="preserve"> </w:t>
      </w:r>
    </w:p>
    <w:p w14:paraId="7A1E85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本项目从ResNet静态图像分类拓展到超声视频诊断，体现出计算机视觉技术在医学领域的衍生应用逻辑：一是“任务拓展”——从“静态识别”到“动态分析”，需补充时序建模能力；二是“场景适配”——从“自然图像”到“医学影像”，需针对噪声、伪影设计鲁棒特征提取方法；三是“价值延伸”——从“分类结果”到“决策支持”，需结合领域知识（如LLMs的临床推理）实现技术落地。 这种衍生思路可推广到其他医学影像任务（如CT视频诊断、内镜视频分析），核心是“任务特性分析→技术短板识别→多技术融合补位”。同时，本项目也验证了ResNet作为基础架构的可扩展性——其残差连接思想可灵活融入3D卷积、Transformer等模块，为复杂任务提供稳定的梯度传播基础。</w:t>
      </w:r>
    </w:p>
    <w:p w14:paraId="18DF11A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left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本项目通过设计CTU-Net网络与Auto-US系统，成功实现了超声视频的智能诊断，分类性能达SOTA，且能生成符合临床规范的诊断报告。项目不仅深化了对ResNet、Transformer、频率域分析等技术的理解，更培养了“技术适配临床需求”的工程思维。未来，通过数据集扩充、模型轻量化与LLMs知识更新，Auto-US有望在基层医疗场景实现规模化应用，为超声诊断提供高效、标准化的AI辅助工具。</w:t>
      </w:r>
    </w:p>
    <w:p w14:paraId="7918B6C9">
      <w:pPr>
        <w:pStyle w:val="13"/>
        <w:numPr>
          <w:ilvl w:val="0"/>
          <w:numId w:val="0"/>
        </w:numPr>
        <w:ind w:leftChars="0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CAF4B"/>
    <w:multiLevelType w:val="multilevel"/>
    <w:tmpl w:val="D6FCAF4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FFE5DFF"/>
    <w:multiLevelType w:val="singleLevel"/>
    <w:tmpl w:val="DFFE5D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CDFE627"/>
    <w:multiLevelType w:val="singleLevel"/>
    <w:tmpl w:val="ECDFE6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73F1E5F"/>
    <w:multiLevelType w:val="singleLevel"/>
    <w:tmpl w:val="673F1E5F"/>
    <w:lvl w:ilvl="0" w:tentative="0">
      <w:start w:val="4"/>
      <w:numFmt w:val="decimal"/>
      <w:suff w:val="space"/>
      <w:lvlText w:val="%1）"/>
      <w:lvlJc w:val="left"/>
    </w:lvl>
  </w:abstractNum>
  <w:abstractNum w:abstractNumId="4">
    <w:nsid w:val="7BEE935C"/>
    <w:multiLevelType w:val="singleLevel"/>
    <w:tmpl w:val="7BEE935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F7B10"/>
    <w:rsid w:val="37FB5027"/>
    <w:rsid w:val="5FDF4020"/>
    <w:rsid w:val="62FE9061"/>
    <w:rsid w:val="746E0522"/>
    <w:rsid w:val="753E3B55"/>
    <w:rsid w:val="77FE1427"/>
    <w:rsid w:val="7BBDB9D9"/>
    <w:rsid w:val="7F7F7B10"/>
    <w:rsid w:val="7FB9DD3F"/>
    <w:rsid w:val="7FFB6857"/>
    <w:rsid w:val="9EFF6013"/>
    <w:rsid w:val="BFFC79E5"/>
    <w:rsid w:val="FB7C98E0"/>
    <w:rsid w:val="FBFFF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link w:val="14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uiPriority w:val="99"/>
    <w:rPr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toc 1"/>
    <w:basedOn w:val="1"/>
    <w:next w:val="1"/>
    <w:semiHidden/>
    <w:unhideWhenUsed/>
    <w:uiPriority w:val="39"/>
  </w:style>
  <w:style w:type="paragraph" w:styleId="11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Heading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2025-10-16T01:46:00Z</dcterms:created>
  <dc:creator>suzie</dc:creator>
  <cp:lastModifiedBy>suzie</cp:lastModifiedBy>
  <dcterms:modified xsi:type="dcterms:W3CDTF">2025-10-15T20:42:19Z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55BF1B6D505792B3926DEF684710A33B_41</vt:lpwstr>
  </property>
</Properties>
</file>