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Знайомство з командами навігації по файловій системі та керування файлами та каталогами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Zeroes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Vlad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Sapozhnyk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Onufriiev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командами навігації по файловій системі.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командами для керування файлами та каталогами.</w:t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(Windows 7).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Віртуальна машина – </w:t>
      </w:r>
      <w:r w:rsidDel="00000000" w:rsidR="00000000" w:rsidRPr="00000000">
        <w:rPr>
          <w:sz w:val="28"/>
          <w:szCs w:val="28"/>
          <w:rtl w:val="0"/>
        </w:rPr>
        <w:t xml:space="preserve">Virtual Box</w:t>
      </w:r>
      <w:r w:rsidDel="00000000" w:rsidR="00000000" w:rsidRPr="00000000">
        <w:rPr>
          <w:sz w:val="28"/>
          <w:szCs w:val="28"/>
          <w:rtl w:val="0"/>
        </w:rPr>
        <w:t xml:space="preserve"> (Oracle).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Операційна система GNU/Linux – CentOS.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42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Max Karpenko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