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Команди Linux для архівування та стиснення даних. Робота з текстом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командами для архівування та стиснення даних.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діями при роботі з текстом у терміналі.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Virtual Box (Oracle).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Max Karpenko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