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WORK-CASE №8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c9d1d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Dmytro 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студентів групи РПЗ-13А та РПЗ-13Б Eleven Two Zeroes: Vlad Sapozhnyk, Max Karpenko and Dmytro Onufriiev.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При роботі з серверними системами або на комп’ютерах, що досить обмежені у ресурсах, досить часто графічну оболонку вимикають або взагалі не встановлюють. Іноді виникають задачі, які здається, що без графічної оболонки виконати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неможливо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проте для ОС Linux це не так. Спробуйте через термінал виконати наступні дії та поясніть за допомогою яких команд (пакетів) їх можна виконати: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Перегляд файлів та папок через файловий менеджер у терміналі.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Переглядати веб-сторінки через браузер, що працює у терміналі.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Перегляд електронної пошти в терміналі.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Слухати музику через термінал.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Скачувати торенти через термінал.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Планувати дії в календарі та нагадувати про них через термінал.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Переглядати зображення в терміналі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Існують також дії які є класичними для більшості адміністраторів та мають досить різноманітний функціонал. Опишіть різні програми (команди, пакети) та встановіть по одній на кожну дію у терміналі: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Вводити, редагувати, видаляти текст (редактори файлів).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Здійснювати моніторинг процесів та ресурсів системи (аналог диспетчера задач або системного монітора в графічній оболонці).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Задачі, щоб підняти настрій посеред робочого процесу ☺ – так звані «пасхалки» (на жаль підтримуються не всіма дистрибутивами):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Якщо Ви мрієте про подорож, то термінал може Вам показати зображення парового локомотиву з вагоном (гарний натяк на дорогу).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Якщо Ви фанат зоряних війн, то термінал може їх Вам показати.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Якщо ви любите тварин, то термінал Вам може організувати діалог з коровою.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Можливо Ви знаєте якісь цікаві інтерактиви, які не знаю я, то поділіться ними зі мною :)))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