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E</w:t>
      </w:r>
    </w:p>
    <w:p>
      <w:pPr>
        <w:pStyle w:val="Heading1"/>
      </w:pPr>
      <w:r>
        <w:t>MODEL TRAINING REPOSITORY</w:t>
      </w:r>
    </w:p>
    <w:p>
      <w:r>
        <w:rPr>
          <w:rFonts w:ascii="Times New Roman" w:hAnsi="Times New Roman"/>
          <w:sz w:val="24"/>
        </w:rPr>
        <w:t>This appendix documents the model training repository, configuration parameters, and training environment used to produce the production cough hybrid classifier (run 20260531_014419) and sputum AFB binary ResNet18 classifier (run phlegm_afb_binary_20260531_133949) reported in Chapter VI.</w:t>
      </w:r>
    </w:p>
    <w:p>
      <w:pPr>
        <w:pStyle w:val="Heading2"/>
      </w:pPr>
      <w:r>
        <w:t>E.1 Repository Structure</w:t>
      </w:r>
    </w:p>
    <w:p>
      <w:r>
        <w:rPr>
          <w:rFonts w:ascii="Times New Roman" w:hAnsi="Times New Roman"/>
          <w:sz w:val="24"/>
        </w:rPr>
        <w:t>The TBhon machine learning assets are organized under the main project repository with separate directories for cough audio and sputum microscopy pipelines. Production checkpoints, metrics, and configuration files are stored under timestamped run folders.</w:t>
      </w:r>
    </w:p>
    <w:p>
      <w:r>
        <w:rPr>
          <w:rFonts w:ascii="Consolas" w:hAnsi="Consolas"/>
          <w:sz w:val="20"/>
        </w:rPr>
        <w:t>Tbhon/</w:t>
      </w:r>
    </w:p>
    <w:p>
      <w:r>
        <w:rPr>
          <w:rFonts w:ascii="Consolas" w:hAnsi="Consolas"/>
          <w:sz w:val="20"/>
        </w:rPr>
        <w:t>├── ml/</w:t>
      </w:r>
    </w:p>
    <w:p>
      <w:r>
        <w:rPr>
          <w:rFonts w:ascii="Consolas" w:hAnsi="Consolas"/>
          <w:sz w:val="20"/>
        </w:rPr>
        <w:t>│   ├── train_tb_cough_hybrid.py</w:t>
      </w:r>
    </w:p>
    <w:p>
      <w:r>
        <w:rPr>
          <w:rFonts w:ascii="Consolas" w:hAnsi="Consolas"/>
          <w:sz w:val="20"/>
        </w:rPr>
        <w:t>│   ├── train_tb_cough_cnn.py</w:t>
      </w:r>
    </w:p>
    <w:p>
      <w:r>
        <w:rPr>
          <w:rFonts w:ascii="Consolas" w:hAnsi="Consolas"/>
          <w:sz w:val="20"/>
        </w:rPr>
        <w:t>│   ├── infer_api.py</w:t>
      </w:r>
    </w:p>
    <w:p>
      <w:r>
        <w:rPr>
          <w:rFonts w:ascii="Consolas" w:hAnsi="Consolas"/>
          <w:sz w:val="20"/>
        </w:rPr>
        <w:t>│   ├── production_model.json</w:t>
      </w:r>
    </w:p>
    <w:p>
      <w:r>
        <w:rPr>
          <w:rFonts w:ascii="Consolas" w:hAnsi="Consolas"/>
          <w:sz w:val="20"/>
        </w:rPr>
        <w:t>│   ├── runs/</w:t>
      </w:r>
    </w:p>
    <w:p>
      <w:r>
        <w:rPr>
          <w:rFonts w:ascii="Consolas" w:hAnsi="Consolas"/>
          <w:sz w:val="20"/>
        </w:rPr>
        <w:t>│   │   └── 20260531_014419/</w:t>
      </w:r>
    </w:p>
    <w:p>
      <w:r>
        <w:rPr>
          <w:rFonts w:ascii="Consolas" w:hAnsi="Consolas"/>
          <w:sz w:val="20"/>
        </w:rPr>
        <w:t>│   │       ├── model.pt</w:t>
      </w:r>
    </w:p>
    <w:p>
      <w:r>
        <w:rPr>
          <w:rFonts w:ascii="Consolas" w:hAnsi="Consolas"/>
          <w:sz w:val="20"/>
        </w:rPr>
        <w:t>│   │       ├── hybrid_bundle.pkl</w:t>
      </w:r>
    </w:p>
    <w:p>
      <w:r>
        <w:rPr>
          <w:rFonts w:ascii="Consolas" w:hAnsi="Consolas"/>
          <w:sz w:val="20"/>
        </w:rPr>
        <w:t>│   │       ├── metrics.json</w:t>
      </w:r>
    </w:p>
    <w:p>
      <w:r>
        <w:rPr>
          <w:rFonts w:ascii="Consolas" w:hAnsi="Consolas"/>
          <w:sz w:val="20"/>
        </w:rPr>
        <w:t>│   │       └── config.json</w:t>
      </w:r>
    </w:p>
    <w:p>
      <w:r>
        <w:rPr>
          <w:rFonts w:ascii="Consolas" w:hAnsi="Consolas"/>
          <w:sz w:val="20"/>
        </w:rPr>
        <w:t>│   └── scripts/</w:t>
      </w:r>
    </w:p>
    <w:p>
      <w:r>
        <w:rPr>
          <w:rFonts w:ascii="Consolas" w:hAnsi="Consolas"/>
          <w:sz w:val="20"/>
        </w:rPr>
        <w:t>└── ml (phlegm)/</w:t>
      </w:r>
    </w:p>
    <w:p>
      <w:r>
        <w:rPr>
          <w:rFonts w:ascii="Consolas" w:hAnsi="Consolas"/>
          <w:sz w:val="20"/>
        </w:rPr>
        <w:t xml:space="preserve">    ├── train_phlegm_cnn.py</w:t>
      </w:r>
    </w:p>
    <w:p>
      <w:r>
        <w:rPr>
          <w:rFonts w:ascii="Consolas" w:hAnsi="Consolas"/>
          <w:sz w:val="20"/>
        </w:rPr>
        <w:t xml:space="preserve">    ├── Raw_Sputum_Microscopy_Dataset/</w:t>
      </w:r>
    </w:p>
    <w:p>
      <w:r>
        <w:rPr>
          <w:rFonts w:ascii="Consolas" w:hAnsi="Consolas"/>
          <w:sz w:val="20"/>
        </w:rPr>
        <w:t xml:space="preserve">    └── runs/</w:t>
      </w:r>
    </w:p>
    <w:p>
      <w:r>
        <w:rPr>
          <w:rFonts w:ascii="Consolas" w:hAnsi="Consolas"/>
          <w:sz w:val="20"/>
        </w:rPr>
        <w:t xml:space="preserve">        └── phlegm_afb_binary_20260531_133949/</w:t>
      </w:r>
    </w:p>
    <w:p>
      <w:r>
        <w:rPr>
          <w:rFonts w:ascii="Consolas" w:hAnsi="Consolas"/>
          <w:sz w:val="20"/>
        </w:rPr>
        <w:t xml:space="preserve">            ├── model_best.pt</w:t>
      </w:r>
    </w:p>
    <w:p>
      <w:r>
        <w:rPr>
          <w:rFonts w:ascii="Consolas" w:hAnsi="Consolas"/>
          <w:sz w:val="20"/>
        </w:rPr>
        <w:t xml:space="preserve">            ├── metrics.json</w:t>
      </w:r>
    </w:p>
    <w:p>
      <w:r>
        <w:rPr>
          <w:rFonts w:ascii="Consolas" w:hAnsi="Consolas"/>
          <w:sz w:val="20"/>
        </w:rPr>
        <w:t xml:space="preserve">            └── config.json</w:t>
      </w:r>
    </w:p>
    <w:p>
      <w:pPr>
        <w:jc w:val="center"/>
      </w:pPr>
      <w:r>
        <w:drawing>
          <wp:inline xmlns:a="http://schemas.openxmlformats.org/drawingml/2006/main" xmlns:pic="http://schemas.openxmlformats.org/drawingml/2006/picture">
            <wp:extent cx="5669280" cy="3862218"/>
            <wp:docPr id="1" name="Picture 1"/>
            <wp:cNvGraphicFramePr>
              <a:graphicFrameLocks noChangeAspect="1"/>
            </wp:cNvGraphicFramePr>
            <a:graphic>
              <a:graphicData uri="http://schemas.openxmlformats.org/drawingml/2006/picture">
                <pic:pic>
                  <pic:nvPicPr>
                    <pic:cNvPr id="0" name="e3_repository_structure.png"/>
                    <pic:cNvPicPr/>
                  </pic:nvPicPr>
                  <pic:blipFill>
                    <a:blip r:embed="rId9"/>
                    <a:stretch>
                      <a:fillRect/>
                    </a:stretch>
                  </pic:blipFill>
                  <pic:spPr>
                    <a:xfrm>
                      <a:off x="0" y="0"/>
                      <a:ext cx="5669280" cy="3862218"/>
                    </a:xfrm>
                    <a:prstGeom prst="rect"/>
                  </pic:spPr>
                </pic:pic>
              </a:graphicData>
            </a:graphic>
          </wp:inline>
        </w:drawing>
      </w:r>
    </w:p>
    <w:p>
      <w:pPr>
        <w:jc w:val="center"/>
      </w:pPr>
      <w:r>
        <w:rPr>
          <w:rFonts w:ascii="Times New Roman" w:hAnsi="Times New Roman"/>
          <w:b/>
          <w:sz w:val="24"/>
        </w:rPr>
        <w:t>Figure E.1. TBhon Model Training Repository Structure (VS Code Explorer)</w:t>
      </w:r>
    </w:p>
    <w:p>
      <w:pPr>
        <w:pStyle w:val="Heading2"/>
      </w:pPr>
      <w:r>
        <w:t>E.2 Training Configuration</w:t>
      </w:r>
    </w:p>
    <w:p>
      <w:r>
        <w:rPr>
          <w:rFonts w:ascii="Times New Roman" w:hAnsi="Times New Roman"/>
          <w:sz w:val="24"/>
        </w:rPr>
        <w:t>Table E.2.1. Cough Hybrid Classifier — Production Training Configuration (run 20260531_014419)</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Parameter</w:t>
            </w:r>
          </w:p>
        </w:tc>
        <w:tc>
          <w:tcPr>
            <w:tcW w:type="dxa" w:w="4320"/>
          </w:tcPr>
          <w:p>
            <w:r>
              <w:rPr>
                <w:rFonts w:ascii="Times New Roman" w:hAnsi="Times New Roman"/>
                <w:b/>
                <w:sz w:val="22"/>
              </w:rPr>
              <w:t>Value</w:t>
            </w:r>
          </w:p>
        </w:tc>
      </w:tr>
      <w:tr>
        <w:tc>
          <w:tcPr>
            <w:tcW w:type="dxa" w:w="4320"/>
          </w:tcPr>
          <w:p>
            <w:r>
              <w:rPr>
                <w:rFonts w:ascii="Times New Roman" w:hAnsi="Times New Roman"/>
                <w:sz w:val="22"/>
              </w:rPr>
              <w:t>Framework</w:t>
            </w:r>
          </w:p>
        </w:tc>
        <w:tc>
          <w:tcPr>
            <w:tcW w:type="dxa" w:w="4320"/>
          </w:tcPr>
          <w:p>
            <w:r>
              <w:rPr>
                <w:rFonts w:ascii="Times New Roman" w:hAnsi="Times New Roman"/>
                <w:sz w:val="22"/>
              </w:rPr>
              <w:t>PyTorch CNN + scikit-learn Gradient Boosting</w:t>
            </w:r>
          </w:p>
        </w:tc>
      </w:tr>
      <w:tr>
        <w:tc>
          <w:tcPr>
            <w:tcW w:type="dxa" w:w="4320"/>
          </w:tcPr>
          <w:p>
            <w:r>
              <w:rPr>
                <w:rFonts w:ascii="Times New Roman" w:hAnsi="Times New Roman"/>
                <w:sz w:val="22"/>
              </w:rPr>
              <w:t>Language</w:t>
            </w:r>
          </w:p>
        </w:tc>
        <w:tc>
          <w:tcPr>
            <w:tcW w:type="dxa" w:w="4320"/>
          </w:tcPr>
          <w:p>
            <w:r>
              <w:rPr>
                <w:rFonts w:ascii="Times New Roman" w:hAnsi="Times New Roman"/>
                <w:sz w:val="22"/>
              </w:rPr>
              <w:t>Python 3</w:t>
            </w:r>
          </w:p>
        </w:tc>
      </w:tr>
      <w:tr>
        <w:tc>
          <w:tcPr>
            <w:tcW w:type="dxa" w:w="4320"/>
          </w:tcPr>
          <w:p>
            <w:r>
              <w:rPr>
                <w:rFonts w:ascii="Times New Roman" w:hAnsi="Times New Roman"/>
                <w:sz w:val="22"/>
              </w:rPr>
              <w:t>Dataset</w:t>
            </w:r>
          </w:p>
        </w:tc>
        <w:tc>
          <w:tcPr>
            <w:tcW w:type="dxa" w:w="4320"/>
          </w:tcPr>
          <w:p>
            <w:r>
              <w:rPr>
                <w:rFonts w:ascii="Times New Roman" w:hAnsi="Times New Roman"/>
                <w:sz w:val="22"/>
              </w:rPr>
              <w:t>ruchikashirsath/tb-audio</w:t>
            </w:r>
          </w:p>
        </w:tc>
      </w:tr>
      <w:tr>
        <w:tc>
          <w:tcPr>
            <w:tcW w:type="dxa" w:w="4320"/>
          </w:tcPr>
          <w:p>
            <w:r>
              <w:rPr>
                <w:rFonts w:ascii="Times New Roman" w:hAnsi="Times New Roman"/>
                <w:sz w:val="22"/>
              </w:rPr>
              <w:t>Cross-validation fold</w:t>
            </w:r>
          </w:p>
        </w:tc>
        <w:tc>
          <w:tcPr>
            <w:tcW w:type="dxa" w:w="4320"/>
          </w:tcPr>
          <w:p>
            <w:r>
              <w:rPr>
                <w:rFonts w:ascii="Times New Roman" w:hAnsi="Times New Roman"/>
                <w:sz w:val="22"/>
              </w:rPr>
              <w:t>1</w:t>
            </w:r>
          </w:p>
        </w:tc>
      </w:tr>
      <w:tr>
        <w:tc>
          <w:tcPr>
            <w:tcW w:type="dxa" w:w="4320"/>
          </w:tcPr>
          <w:p>
            <w:r>
              <w:rPr>
                <w:rFonts w:ascii="Times New Roman" w:hAnsi="Times New Roman"/>
                <w:sz w:val="22"/>
              </w:rPr>
              <w:t>Sample rate</w:t>
            </w:r>
          </w:p>
        </w:tc>
        <w:tc>
          <w:tcPr>
            <w:tcW w:type="dxa" w:w="4320"/>
          </w:tcPr>
          <w:p>
            <w:r>
              <w:rPr>
                <w:rFonts w:ascii="Times New Roman" w:hAnsi="Times New Roman"/>
                <w:sz w:val="22"/>
              </w:rPr>
              <w:t>16000 Hz</w:t>
            </w:r>
          </w:p>
        </w:tc>
      </w:tr>
      <w:tr>
        <w:tc>
          <w:tcPr>
            <w:tcW w:type="dxa" w:w="4320"/>
          </w:tcPr>
          <w:p>
            <w:r>
              <w:rPr>
                <w:rFonts w:ascii="Times New Roman" w:hAnsi="Times New Roman"/>
                <w:sz w:val="22"/>
              </w:rPr>
              <w:t>Clip duration</w:t>
            </w:r>
          </w:p>
        </w:tc>
        <w:tc>
          <w:tcPr>
            <w:tcW w:type="dxa" w:w="4320"/>
          </w:tcPr>
          <w:p>
            <w:r>
              <w:rPr>
                <w:rFonts w:ascii="Times New Roman" w:hAnsi="Times New Roman"/>
                <w:sz w:val="22"/>
              </w:rPr>
              <w:t>4.0 s</w:t>
            </w:r>
          </w:p>
        </w:tc>
      </w:tr>
      <w:tr>
        <w:tc>
          <w:tcPr>
            <w:tcW w:type="dxa" w:w="4320"/>
          </w:tcPr>
          <w:p>
            <w:r>
              <w:rPr>
                <w:rFonts w:ascii="Times New Roman" w:hAnsi="Times New Roman"/>
                <w:sz w:val="22"/>
              </w:rPr>
              <w:t>Mel bins</w:t>
            </w:r>
          </w:p>
        </w:tc>
        <w:tc>
          <w:tcPr>
            <w:tcW w:type="dxa" w:w="4320"/>
          </w:tcPr>
          <w:p>
            <w:r>
              <w:rPr>
                <w:rFonts w:ascii="Times New Roman" w:hAnsi="Times New Roman"/>
                <w:sz w:val="22"/>
              </w:rPr>
              <w:t>64</w:t>
            </w:r>
          </w:p>
        </w:tc>
      </w:tr>
      <w:tr>
        <w:tc>
          <w:tcPr>
            <w:tcW w:type="dxa" w:w="4320"/>
          </w:tcPr>
          <w:p>
            <w:r>
              <w:rPr>
                <w:rFonts w:ascii="Times New Roman" w:hAnsi="Times New Roman"/>
                <w:sz w:val="22"/>
              </w:rPr>
              <w:t>CNN epochs</w:t>
            </w:r>
          </w:p>
        </w:tc>
        <w:tc>
          <w:tcPr>
            <w:tcW w:type="dxa" w:w="4320"/>
          </w:tcPr>
          <w:p>
            <w:r>
              <w:rPr>
                <w:rFonts w:ascii="Times New Roman" w:hAnsi="Times New Roman"/>
                <w:sz w:val="22"/>
              </w:rPr>
              <w:t>8</w:t>
            </w:r>
          </w:p>
        </w:tc>
      </w:tr>
      <w:tr>
        <w:tc>
          <w:tcPr>
            <w:tcW w:type="dxa" w:w="4320"/>
          </w:tcPr>
          <w:p>
            <w:r>
              <w:rPr>
                <w:rFonts w:ascii="Times New Roman" w:hAnsi="Times New Roman"/>
                <w:sz w:val="22"/>
              </w:rPr>
              <w:t>CNN batch size</w:t>
            </w:r>
          </w:p>
        </w:tc>
        <w:tc>
          <w:tcPr>
            <w:tcW w:type="dxa" w:w="4320"/>
          </w:tcPr>
          <w:p>
            <w:r>
              <w:rPr>
                <w:rFonts w:ascii="Times New Roman" w:hAnsi="Times New Roman"/>
                <w:sz w:val="22"/>
              </w:rPr>
              <w:t>32</w:t>
            </w:r>
          </w:p>
        </w:tc>
      </w:tr>
      <w:tr>
        <w:tc>
          <w:tcPr>
            <w:tcW w:type="dxa" w:w="4320"/>
          </w:tcPr>
          <w:p>
            <w:r>
              <w:rPr>
                <w:rFonts w:ascii="Times New Roman" w:hAnsi="Times New Roman"/>
                <w:sz w:val="22"/>
              </w:rPr>
              <w:t>CNN learning rate</w:t>
            </w:r>
          </w:p>
        </w:tc>
        <w:tc>
          <w:tcPr>
            <w:tcW w:type="dxa" w:w="4320"/>
          </w:tcPr>
          <w:p>
            <w:r>
              <w:rPr>
                <w:rFonts w:ascii="Times New Roman" w:hAnsi="Times New Roman"/>
                <w:sz w:val="22"/>
              </w:rPr>
              <w:t>0.0003</w:t>
            </w:r>
          </w:p>
        </w:tc>
      </w:tr>
      <w:tr>
        <w:tc>
          <w:tcPr>
            <w:tcW w:type="dxa" w:w="4320"/>
          </w:tcPr>
          <w:p>
            <w:r>
              <w:rPr>
                <w:rFonts w:ascii="Times New Roman" w:hAnsi="Times New Roman"/>
                <w:sz w:val="22"/>
              </w:rPr>
              <w:t>GBM estimators</w:t>
            </w:r>
          </w:p>
        </w:tc>
        <w:tc>
          <w:tcPr>
            <w:tcW w:type="dxa" w:w="4320"/>
          </w:tcPr>
          <w:p>
            <w:r>
              <w:rPr>
                <w:rFonts w:ascii="Times New Roman" w:hAnsi="Times New Roman"/>
                <w:sz w:val="22"/>
              </w:rPr>
              <w:t>300</w:t>
            </w:r>
          </w:p>
        </w:tc>
      </w:tr>
      <w:tr>
        <w:tc>
          <w:tcPr>
            <w:tcW w:type="dxa" w:w="4320"/>
          </w:tcPr>
          <w:p>
            <w:r>
              <w:rPr>
                <w:rFonts w:ascii="Times New Roman" w:hAnsi="Times New Roman"/>
                <w:sz w:val="22"/>
              </w:rPr>
              <w:t>Validation fraction</w:t>
            </w:r>
          </w:p>
        </w:tc>
        <w:tc>
          <w:tcPr>
            <w:tcW w:type="dxa" w:w="4320"/>
          </w:tcPr>
          <w:p>
            <w:r>
              <w:rPr>
                <w:rFonts w:ascii="Times New Roman" w:hAnsi="Times New Roman"/>
                <w:sz w:val="22"/>
              </w:rPr>
              <w:t>0.12</w:t>
            </w:r>
          </w:p>
        </w:tc>
      </w:tr>
      <w:tr>
        <w:tc>
          <w:tcPr>
            <w:tcW w:type="dxa" w:w="4320"/>
          </w:tcPr>
          <w:p>
            <w:r>
              <w:rPr>
                <w:rFonts w:ascii="Times New Roman" w:hAnsi="Times New Roman"/>
                <w:sz w:val="22"/>
              </w:rPr>
              <w:t>Device</w:t>
            </w:r>
          </w:p>
        </w:tc>
        <w:tc>
          <w:tcPr>
            <w:tcW w:type="dxa" w:w="4320"/>
          </w:tcPr>
          <w:p>
            <w:r>
              <w:rPr>
                <w:rFonts w:ascii="Times New Roman" w:hAnsi="Times New Roman"/>
                <w:sz w:val="22"/>
              </w:rPr>
              <w:t>Local workstation / Google Colab (GPU optional)</w:t>
            </w:r>
          </w:p>
        </w:tc>
      </w:tr>
    </w:tbl>
    <w:p/>
    <w:p>
      <w:r>
        <w:rPr>
          <w:rFonts w:ascii="Times New Roman" w:hAnsi="Times New Roman"/>
          <w:sz w:val="24"/>
        </w:rPr>
        <w:t>Table E.2.2. Sputum ResNet18 AFB Binary Classifier — Production Training Configuration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Parameter</w:t>
            </w:r>
          </w:p>
        </w:tc>
        <w:tc>
          <w:tcPr>
            <w:tcW w:type="dxa" w:w="4320"/>
          </w:tcPr>
          <w:p>
            <w:r>
              <w:rPr>
                <w:rFonts w:ascii="Times New Roman" w:hAnsi="Times New Roman"/>
                <w:b/>
                <w:sz w:val="22"/>
              </w:rPr>
              <w:t>Value</w:t>
            </w:r>
          </w:p>
        </w:tc>
      </w:tr>
      <w:tr>
        <w:tc>
          <w:tcPr>
            <w:tcW w:type="dxa" w:w="4320"/>
          </w:tcPr>
          <w:p>
            <w:r>
              <w:rPr>
                <w:rFonts w:ascii="Times New Roman" w:hAnsi="Times New Roman"/>
                <w:sz w:val="22"/>
              </w:rPr>
              <w:t>Framework</w:t>
            </w:r>
          </w:p>
        </w:tc>
        <w:tc>
          <w:tcPr>
            <w:tcW w:type="dxa" w:w="4320"/>
          </w:tcPr>
          <w:p>
            <w:r>
              <w:rPr>
                <w:rFonts w:ascii="Times New Roman" w:hAnsi="Times New Roman"/>
                <w:sz w:val="22"/>
              </w:rPr>
              <w:t>PyTorch / torchvision ResNet18</w:t>
            </w:r>
          </w:p>
        </w:tc>
      </w:tr>
      <w:tr>
        <w:tc>
          <w:tcPr>
            <w:tcW w:type="dxa" w:w="4320"/>
          </w:tcPr>
          <w:p>
            <w:r>
              <w:rPr>
                <w:rFonts w:ascii="Times New Roman" w:hAnsi="Times New Roman"/>
                <w:sz w:val="22"/>
              </w:rPr>
              <w:t>Language</w:t>
            </w:r>
          </w:p>
        </w:tc>
        <w:tc>
          <w:tcPr>
            <w:tcW w:type="dxa" w:w="4320"/>
          </w:tcPr>
          <w:p>
            <w:r>
              <w:rPr>
                <w:rFonts w:ascii="Times New Roman" w:hAnsi="Times New Roman"/>
                <w:sz w:val="22"/>
              </w:rPr>
              <w:t>Python 3</w:t>
            </w:r>
          </w:p>
        </w:tc>
      </w:tr>
      <w:tr>
        <w:tc>
          <w:tcPr>
            <w:tcW w:type="dxa" w:w="4320"/>
          </w:tcPr>
          <w:p>
            <w:r>
              <w:rPr>
                <w:rFonts w:ascii="Times New Roman" w:hAnsi="Times New Roman"/>
                <w:sz w:val="22"/>
              </w:rPr>
              <w:t>Task</w:t>
            </w:r>
          </w:p>
        </w:tc>
        <w:tc>
          <w:tcPr>
            <w:tcW w:type="dxa" w:w="4320"/>
          </w:tcPr>
          <w:p>
            <w:r>
              <w:rPr>
                <w:rFonts w:ascii="Times New Roman" w:hAnsi="Times New Roman"/>
                <w:sz w:val="22"/>
              </w:rPr>
              <w:t>binary</w:t>
            </w:r>
          </w:p>
        </w:tc>
      </w:tr>
      <w:tr>
        <w:tc>
          <w:tcPr>
            <w:tcW w:type="dxa" w:w="4320"/>
          </w:tcPr>
          <w:p>
            <w:r>
              <w:rPr>
                <w:rFonts w:ascii="Times New Roman" w:hAnsi="Times New Roman"/>
                <w:sz w:val="22"/>
              </w:rPr>
              <w:t>Image size</w:t>
            </w:r>
          </w:p>
        </w:tc>
        <w:tc>
          <w:tcPr>
            <w:tcW w:type="dxa" w:w="4320"/>
          </w:tcPr>
          <w:p>
            <w:r>
              <w:rPr>
                <w:rFonts w:ascii="Times New Roman" w:hAnsi="Times New Roman"/>
                <w:sz w:val="22"/>
              </w:rPr>
              <w:t>224×224</w:t>
            </w:r>
          </w:p>
        </w:tc>
      </w:tr>
      <w:tr>
        <w:tc>
          <w:tcPr>
            <w:tcW w:type="dxa" w:w="4320"/>
          </w:tcPr>
          <w:p>
            <w:r>
              <w:rPr>
                <w:rFonts w:ascii="Times New Roman" w:hAnsi="Times New Roman"/>
                <w:sz w:val="22"/>
              </w:rPr>
              <w:t>Epochs</w:t>
            </w:r>
          </w:p>
        </w:tc>
        <w:tc>
          <w:tcPr>
            <w:tcW w:type="dxa" w:w="4320"/>
          </w:tcPr>
          <w:p>
            <w:r>
              <w:rPr>
                <w:rFonts w:ascii="Times New Roman" w:hAnsi="Times New Roman"/>
                <w:sz w:val="22"/>
              </w:rPr>
              <w:t>30</w:t>
            </w:r>
          </w:p>
        </w:tc>
      </w:tr>
      <w:tr>
        <w:tc>
          <w:tcPr>
            <w:tcW w:type="dxa" w:w="4320"/>
          </w:tcPr>
          <w:p>
            <w:r>
              <w:rPr>
                <w:rFonts w:ascii="Times New Roman" w:hAnsi="Times New Roman"/>
                <w:sz w:val="22"/>
              </w:rPr>
              <w:t>Batch size</w:t>
            </w:r>
          </w:p>
        </w:tc>
        <w:tc>
          <w:tcPr>
            <w:tcW w:type="dxa" w:w="4320"/>
          </w:tcPr>
          <w:p>
            <w:r>
              <w:rPr>
                <w:rFonts w:ascii="Times New Roman" w:hAnsi="Times New Roman"/>
                <w:sz w:val="22"/>
              </w:rPr>
              <w:t>32</w:t>
            </w:r>
          </w:p>
        </w:tc>
      </w:tr>
      <w:tr>
        <w:tc>
          <w:tcPr>
            <w:tcW w:type="dxa" w:w="4320"/>
          </w:tcPr>
          <w:p>
            <w:r>
              <w:rPr>
                <w:rFonts w:ascii="Times New Roman" w:hAnsi="Times New Roman"/>
                <w:sz w:val="22"/>
              </w:rPr>
              <w:t>Learning rate</w:t>
            </w:r>
          </w:p>
        </w:tc>
        <w:tc>
          <w:tcPr>
            <w:tcW w:type="dxa" w:w="4320"/>
          </w:tcPr>
          <w:p>
            <w:r>
              <w:rPr>
                <w:rFonts w:ascii="Times New Roman" w:hAnsi="Times New Roman"/>
                <w:sz w:val="22"/>
              </w:rPr>
              <w:t>0.001</w:t>
            </w:r>
          </w:p>
        </w:tc>
      </w:tr>
      <w:tr>
        <w:tc>
          <w:tcPr>
            <w:tcW w:type="dxa" w:w="4320"/>
          </w:tcPr>
          <w:p>
            <w:r>
              <w:rPr>
                <w:rFonts w:ascii="Times New Roman" w:hAnsi="Times New Roman"/>
                <w:sz w:val="22"/>
              </w:rPr>
              <w:t>Weight decay</w:t>
            </w:r>
          </w:p>
        </w:tc>
        <w:tc>
          <w:tcPr>
            <w:tcW w:type="dxa" w:w="4320"/>
          </w:tcPr>
          <w:p>
            <w:r>
              <w:rPr>
                <w:rFonts w:ascii="Times New Roman" w:hAnsi="Times New Roman"/>
                <w:sz w:val="22"/>
              </w:rPr>
              <w:t>0.0001</w:t>
            </w:r>
          </w:p>
        </w:tc>
      </w:tr>
      <w:tr>
        <w:tc>
          <w:tcPr>
            <w:tcW w:type="dxa" w:w="4320"/>
          </w:tcPr>
          <w:p>
            <w:r>
              <w:rPr>
                <w:rFonts w:ascii="Times New Roman" w:hAnsi="Times New Roman"/>
                <w:sz w:val="22"/>
              </w:rPr>
              <w:t>Augmentation</w:t>
            </w:r>
          </w:p>
        </w:tc>
        <w:tc>
          <w:tcPr>
            <w:tcW w:type="dxa" w:w="4320"/>
          </w:tcPr>
          <w:p>
            <w:r>
              <w:rPr>
                <w:rFonts w:ascii="Times New Roman" w:hAnsi="Times New Roman"/>
                <w:sz w:val="22"/>
              </w:rPr>
              <w:t>True</w:t>
            </w:r>
          </w:p>
        </w:tc>
      </w:tr>
      <w:tr>
        <w:tc>
          <w:tcPr>
            <w:tcW w:type="dxa" w:w="4320"/>
          </w:tcPr>
          <w:p>
            <w:r>
              <w:rPr>
                <w:rFonts w:ascii="Times New Roman" w:hAnsi="Times New Roman"/>
                <w:sz w:val="22"/>
              </w:rPr>
              <w:t>Class weighting</w:t>
            </w:r>
          </w:p>
        </w:tc>
        <w:tc>
          <w:tcPr>
            <w:tcW w:type="dxa" w:w="4320"/>
          </w:tcPr>
          <w:p>
            <w:r>
              <w:rPr>
                <w:rFonts w:ascii="Times New Roman" w:hAnsi="Times New Roman"/>
                <w:sz w:val="22"/>
              </w:rPr>
              <w:t>True</w:t>
            </w:r>
          </w:p>
        </w:tc>
      </w:tr>
      <w:tr>
        <w:tc>
          <w:tcPr>
            <w:tcW w:type="dxa" w:w="4320"/>
          </w:tcPr>
          <w:p>
            <w:r>
              <w:rPr>
                <w:rFonts w:ascii="Times New Roman" w:hAnsi="Times New Roman"/>
                <w:sz w:val="22"/>
              </w:rPr>
              <w:t>Optimizer</w:t>
            </w:r>
          </w:p>
        </w:tc>
        <w:tc>
          <w:tcPr>
            <w:tcW w:type="dxa" w:w="4320"/>
          </w:tcPr>
          <w:p>
            <w:r>
              <w:rPr>
                <w:rFonts w:ascii="Times New Roman" w:hAnsi="Times New Roman"/>
                <w:sz w:val="22"/>
              </w:rPr>
              <w:t>Adam</w:t>
            </w:r>
          </w:p>
        </w:tc>
      </w:tr>
      <w:tr>
        <w:tc>
          <w:tcPr>
            <w:tcW w:type="dxa" w:w="4320"/>
          </w:tcPr>
          <w:p>
            <w:r>
              <w:rPr>
                <w:rFonts w:ascii="Times New Roman" w:hAnsi="Times New Roman"/>
                <w:sz w:val="22"/>
              </w:rPr>
              <w:t>Device</w:t>
            </w:r>
          </w:p>
        </w:tc>
        <w:tc>
          <w:tcPr>
            <w:tcW w:type="dxa" w:w="4320"/>
          </w:tcPr>
          <w:p>
            <w:r>
              <w:rPr>
                <w:rFonts w:ascii="Times New Roman" w:hAnsi="Times New Roman"/>
                <w:sz w:val="22"/>
              </w:rPr>
              <w:t>cpu</w:t>
            </w:r>
          </w:p>
        </w:tc>
      </w:tr>
    </w:tbl>
    <w:p/>
    <w:p>
      <w:pPr>
        <w:pStyle w:val="Heading2"/>
      </w:pPr>
      <w:r>
        <w:t>E.3 Training Environment</w:t>
      </w:r>
    </w:p>
    <w:p>
      <w:r>
        <w:rPr>
          <w:rFonts w:ascii="Times New Roman" w:hAnsi="Times New Roman"/>
          <w:sz w:val="24"/>
        </w:rPr>
        <w:t>Model training was performed using the TBhon GitHub repository on a local Windows development workstation (Visual Studio Code / PowerShell) and may alternatively be executed on Google Colab for GPU-accelerated epochs. Production runs documented in Chapter VI were completed locally; Colab remains supported for retraining and experimentation using the same scripts under the ml/ directory.</w:t>
      </w:r>
    </w:p>
    <w:p>
      <w:r>
        <w:rPr>
          <w:rFonts w:ascii="Times New Roman" w:hAnsi="Times New Roman"/>
          <w:sz w:val="24"/>
        </w:rPr>
        <w:t>Figure E.3.1 shows the repository layout in the VS Code explorer. Figure E.3.2 shows a representative Google Colab notebook session for cough hybrid training. Figure E.3.3 shows local terminal output from the production cough and sputum training commands.</w:t>
      </w:r>
    </w:p>
    <w:p>
      <w:pPr>
        <w:jc w:val="center"/>
      </w:pPr>
      <w:r>
        <w:drawing>
          <wp:inline xmlns:a="http://schemas.openxmlformats.org/drawingml/2006/main" xmlns:pic="http://schemas.openxmlformats.org/drawingml/2006/picture">
            <wp:extent cx="5669280" cy="3862218"/>
            <wp:docPr id="2" name="Picture 2"/>
            <wp:cNvGraphicFramePr>
              <a:graphicFrameLocks noChangeAspect="1"/>
            </wp:cNvGraphicFramePr>
            <a:graphic>
              <a:graphicData uri="http://schemas.openxmlformats.org/drawingml/2006/picture">
                <pic:pic>
                  <pic:nvPicPr>
                    <pic:cNvPr id="0" name="e3_repository_structure.png"/>
                    <pic:cNvPicPr/>
                  </pic:nvPicPr>
                  <pic:blipFill>
                    <a:blip r:embed="rId9"/>
                    <a:stretch>
                      <a:fillRect/>
                    </a:stretch>
                  </pic:blipFill>
                  <pic:spPr>
                    <a:xfrm>
                      <a:off x="0" y="0"/>
                      <a:ext cx="5669280" cy="3862218"/>
                    </a:xfrm>
                    <a:prstGeom prst="rect"/>
                  </pic:spPr>
                </pic:pic>
              </a:graphicData>
            </a:graphic>
          </wp:inline>
        </w:drawing>
      </w:r>
    </w:p>
    <w:p>
      <w:pPr>
        <w:jc w:val="center"/>
      </w:pPr>
      <w:r>
        <w:rPr>
          <w:rFonts w:ascii="Times New Roman" w:hAnsi="Times New Roman"/>
          <w:b/>
          <w:sz w:val="24"/>
        </w:rPr>
        <w:t>Figure E.3.1. Repository Screenshots — TBhon ML Directory Structure</w:t>
      </w:r>
    </w:p>
    <w:p>
      <w:pPr>
        <w:jc w:val="center"/>
      </w:pPr>
      <w:r>
        <w:drawing>
          <wp:inline xmlns:a="http://schemas.openxmlformats.org/drawingml/2006/main" xmlns:pic="http://schemas.openxmlformats.org/drawingml/2006/picture">
            <wp:extent cx="5669280" cy="3681176"/>
            <wp:docPr id="3" name="Picture 3"/>
            <wp:cNvGraphicFramePr>
              <a:graphicFrameLocks noChangeAspect="1"/>
            </wp:cNvGraphicFramePr>
            <a:graphic>
              <a:graphicData uri="http://schemas.openxmlformats.org/drawingml/2006/picture">
                <pic:pic>
                  <pic:nvPicPr>
                    <pic:cNvPr id="0" name="e3_colab_training.png"/>
                    <pic:cNvPicPr/>
                  </pic:nvPicPr>
                  <pic:blipFill>
                    <a:blip r:embed="rId10"/>
                    <a:stretch>
                      <a:fillRect/>
                    </a:stretch>
                  </pic:blipFill>
                  <pic:spPr>
                    <a:xfrm>
                      <a:off x="0" y="0"/>
                      <a:ext cx="5669280" cy="3681176"/>
                    </a:xfrm>
                    <a:prstGeom prst="rect"/>
                  </pic:spPr>
                </pic:pic>
              </a:graphicData>
            </a:graphic>
          </wp:inline>
        </w:drawing>
      </w:r>
    </w:p>
    <w:p>
      <w:pPr>
        <w:jc w:val="center"/>
      </w:pPr>
      <w:r>
        <w:rPr>
          <w:rFonts w:ascii="Times New Roman" w:hAnsi="Times New Roman"/>
          <w:b/>
          <w:sz w:val="24"/>
        </w:rPr>
        <w:t>Figure E.3.2. Google Colab Training Environment — Cough Hybrid Training Notebook</w:t>
      </w:r>
    </w:p>
    <w:p>
      <w:pPr>
        <w:jc w:val="center"/>
      </w:pPr>
      <w:r>
        <w:drawing>
          <wp:inline xmlns:a="http://schemas.openxmlformats.org/drawingml/2006/main" xmlns:pic="http://schemas.openxmlformats.org/drawingml/2006/picture">
            <wp:extent cx="5669280" cy="3681176"/>
            <wp:docPr id="4" name="Picture 4"/>
            <wp:cNvGraphicFramePr>
              <a:graphicFrameLocks noChangeAspect="1"/>
            </wp:cNvGraphicFramePr>
            <a:graphic>
              <a:graphicData uri="http://schemas.openxmlformats.org/drawingml/2006/picture">
                <pic:pic>
                  <pic:nvPicPr>
                    <pic:cNvPr id="0" name="e3_local_terminal_training.png"/>
                    <pic:cNvPicPr/>
                  </pic:nvPicPr>
                  <pic:blipFill>
                    <a:blip r:embed="rId11"/>
                    <a:stretch>
                      <a:fillRect/>
                    </a:stretch>
                  </pic:blipFill>
                  <pic:spPr>
                    <a:xfrm>
                      <a:off x="0" y="0"/>
                      <a:ext cx="5669280" cy="3681176"/>
                    </a:xfrm>
                    <a:prstGeom prst="rect"/>
                  </pic:spPr>
                </pic:pic>
              </a:graphicData>
            </a:graphic>
          </wp:inline>
        </w:drawing>
      </w:r>
    </w:p>
    <w:p>
      <w:pPr>
        <w:jc w:val="center"/>
      </w:pPr>
      <w:r>
        <w:rPr>
          <w:rFonts w:ascii="Times New Roman" w:hAnsi="Times New Roman"/>
          <w:b/>
          <w:sz w:val="24"/>
        </w:rPr>
        <w:t>Figure E.3.3. Local Training Environment — Terminal Output (Production Runs)</w:t>
      </w:r>
    </w:p>
    <w:p>
      <w:r>
        <w:rPr>
          <w:rFonts w:ascii="Times New Roman" w:hAnsi="Times New Roman"/>
          <w:sz w:val="24"/>
        </w:rPr>
        <w:t>Training commands (reference):</w:t>
        <w:br/>
        <w:t>• Cough: python train_tb_cough_hybrid.py --fold 1 --cnn-epochs 8 --gbm-estimators 300</w:t>
        <w:br/>
        <w:t>• Sputum: python train_phlegm_cnn.py --task binary --epochs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