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APPENDIX F</w:t>
      </w:r>
    </w:p>
    <w:p>
      <w:pPr>
        <w:pStyle w:val="Heading1"/>
      </w:pPr>
      <w:r>
        <w:t>MODEL PERFORMANCE OUTPUTS</w:t>
      </w:r>
    </w:p>
    <w:p>
      <w:r>
        <w:rPr>
          <w:rFonts w:ascii="Times New Roman" w:hAnsi="Times New Roman"/>
          <w:sz w:val="24"/>
        </w:rPr>
        <w:t>This appendix presents supplementary model performance evidence supporting the Chapter VI evaluation results for the TBhon hybrid cough classifier (production run 20260531_014419, fold 1) and the sputum AFB binary ResNet18 classifier (production run phlegm_afb_binary_20260531_133949). Figures include test-set precision and recall summaries, validation macro F1 curves, training loss curves, confusion matrices, and consolidated training summary outputs.</w:t>
      </w:r>
    </w:p>
    <w:p>
      <w:pPr>
        <w:pStyle w:val="Heading2"/>
      </w:pPr>
      <w:r>
        <w:t>F.1 Precision Results</w:t>
      </w:r>
    </w:p>
    <w:p>
      <w:r>
        <w:rPr>
          <w:rFonts w:ascii="Times New Roman" w:hAnsi="Times New Roman"/>
          <w:sz w:val="24"/>
        </w:rPr>
        <w:t>Figure F.1 summarizes held-out test-set precision for the non-TB/TB cough classes and the AFB-negative/AFB-positive sputum classes. Cough non-TB precision was 79.13% and TB precision was 64.31%. Sputum AFB-positive precision was 98.54%; AFB-negative precision was 27.27% (n = 6 negatives in the test partition).</w:t>
      </w:r>
    </w:p>
    <w:p>
      <w:pPr>
        <w:jc w:val="center"/>
      </w:pPr>
      <w:r>
        <w:drawing>
          <wp:inline xmlns:a="http://schemas.openxmlformats.org/drawingml/2006/main" xmlns:pic="http://schemas.openxmlformats.org/drawingml/2006/picture">
            <wp:extent cx="5303520" cy="3139875"/>
            <wp:docPr id="1" name="Picture 1"/>
            <wp:cNvGraphicFramePr>
              <a:graphicFrameLocks noChangeAspect="1"/>
            </wp:cNvGraphicFramePr>
            <a:graphic>
              <a:graphicData uri="http://schemas.openxmlformats.org/drawingml/2006/picture">
                <pic:pic>
                  <pic:nvPicPr>
                    <pic:cNvPr id="0" name="appendix_f_1_precision_test.png"/>
                    <pic:cNvPicPr/>
                  </pic:nvPicPr>
                  <pic:blipFill>
                    <a:blip r:embed="rId9"/>
                    <a:stretch>
                      <a:fillRect/>
                    </a:stretch>
                  </pic:blipFill>
                  <pic:spPr>
                    <a:xfrm>
                      <a:off x="0" y="0"/>
                      <a:ext cx="5303520" cy="3139875"/>
                    </a:xfrm>
                    <a:prstGeom prst="rect"/>
                  </pic:spPr>
                </pic:pic>
              </a:graphicData>
            </a:graphic>
          </wp:inline>
        </w:drawing>
      </w:r>
    </w:p>
    <w:p>
      <w:pPr>
        <w:jc w:val="center"/>
      </w:pPr>
      <w:r>
        <w:rPr>
          <w:rFonts w:ascii="Times New Roman" w:hAnsi="Times New Roman"/>
          <w:b/>
          <w:sz w:val="24"/>
        </w:rPr>
        <w:t>Figure F.1. Test-Set Precision by Class (Cough and Sputum Models)</w:t>
      </w:r>
    </w:p>
    <w:p>
      <w:pPr>
        <w:pStyle w:val="Heading2"/>
      </w:pPr>
      <w:r>
        <w:t>F.2 Recall Results</w:t>
      </w:r>
    </w:p>
    <w:p>
      <w:r>
        <w:rPr>
          <w:rFonts w:ascii="Times New Roman" w:hAnsi="Times New Roman"/>
          <w:sz w:val="24"/>
        </w:rPr>
        <w:t>Figure F.2 summarizes held-out test-set recall. Cough non-TB recall was 88.25% and TB recall was 47.63%. Sputum AFB-positive recall (sensitivity) was 96.19% under the validation-tuned threshold policy (decision threshold = 0.63).</w:t>
      </w:r>
    </w:p>
    <w:p>
      <w:pPr>
        <w:jc w:val="center"/>
      </w:pPr>
      <w:r>
        <w:drawing>
          <wp:inline xmlns:a="http://schemas.openxmlformats.org/drawingml/2006/main" xmlns:pic="http://schemas.openxmlformats.org/drawingml/2006/picture">
            <wp:extent cx="5303520" cy="3139875"/>
            <wp:docPr id="2" name="Picture 2"/>
            <wp:cNvGraphicFramePr>
              <a:graphicFrameLocks noChangeAspect="1"/>
            </wp:cNvGraphicFramePr>
            <a:graphic>
              <a:graphicData uri="http://schemas.openxmlformats.org/drawingml/2006/picture">
                <pic:pic>
                  <pic:nvPicPr>
                    <pic:cNvPr id="0" name="appendix_f_2_recall_test.png"/>
                    <pic:cNvPicPr/>
                  </pic:nvPicPr>
                  <pic:blipFill>
                    <a:blip r:embed="rId10"/>
                    <a:stretch>
                      <a:fillRect/>
                    </a:stretch>
                  </pic:blipFill>
                  <pic:spPr>
                    <a:xfrm>
                      <a:off x="0" y="0"/>
                      <a:ext cx="5303520" cy="3139875"/>
                    </a:xfrm>
                    <a:prstGeom prst="rect"/>
                  </pic:spPr>
                </pic:pic>
              </a:graphicData>
            </a:graphic>
          </wp:inline>
        </w:drawing>
      </w:r>
    </w:p>
    <w:p>
      <w:pPr>
        <w:jc w:val="center"/>
      </w:pPr>
      <w:r>
        <w:rPr>
          <w:rFonts w:ascii="Times New Roman" w:hAnsi="Times New Roman"/>
          <w:b/>
          <w:sz w:val="24"/>
        </w:rPr>
        <w:t>Figure F.2. Test-Set Recall by Class (Cough and Sputum Models)</w:t>
      </w:r>
    </w:p>
    <w:p>
      <w:pPr>
        <w:pStyle w:val="Heading2"/>
      </w:pPr>
      <w:r>
        <w:t>F.3 Validation Macro F1 Curves</w:t>
      </w:r>
    </w:p>
    <w:p>
      <w:r>
        <w:rPr>
          <w:rFonts w:ascii="Times New Roman" w:hAnsi="Times New Roman"/>
          <w:sz w:val="24"/>
        </w:rPr>
        <w:t>Figure F.3 presents validation macro F1 curves across training epochs for the cough CNN branch (8 epochs) and the sputum ResNet18 classifier (30 epochs). Macro F1 is used as the primary validation metric for binary classification in place of mean average precision (mAP), which applies to object-detection tasks.</w:t>
      </w:r>
    </w:p>
    <w:p>
      <w:pPr>
        <w:jc w:val="center"/>
      </w:pPr>
      <w:r>
        <w:drawing>
          <wp:inline xmlns:a="http://schemas.openxmlformats.org/drawingml/2006/main" xmlns:pic="http://schemas.openxmlformats.org/drawingml/2006/picture">
            <wp:extent cx="5669280" cy="2062714"/>
            <wp:docPr id="3" name="Picture 3"/>
            <wp:cNvGraphicFramePr>
              <a:graphicFrameLocks noChangeAspect="1"/>
            </wp:cNvGraphicFramePr>
            <a:graphic>
              <a:graphicData uri="http://schemas.openxmlformats.org/drawingml/2006/picture">
                <pic:pic>
                  <pic:nvPicPr>
                    <pic:cNvPr id="0" name="appendix_f_3_macro_f1_curves.png"/>
                    <pic:cNvPicPr/>
                  </pic:nvPicPr>
                  <pic:blipFill>
                    <a:blip r:embed="rId11"/>
                    <a:stretch>
                      <a:fillRect/>
                    </a:stretch>
                  </pic:blipFill>
                  <pic:spPr>
                    <a:xfrm>
                      <a:off x="0" y="0"/>
                      <a:ext cx="5669280" cy="2062714"/>
                    </a:xfrm>
                    <a:prstGeom prst="rect"/>
                  </pic:spPr>
                </pic:pic>
              </a:graphicData>
            </a:graphic>
          </wp:inline>
        </w:drawing>
      </w:r>
    </w:p>
    <w:p>
      <w:pPr>
        <w:jc w:val="center"/>
      </w:pPr>
      <w:r>
        <w:rPr>
          <w:rFonts w:ascii="Times New Roman" w:hAnsi="Times New Roman"/>
          <w:b/>
          <w:sz w:val="24"/>
        </w:rPr>
        <w:t>Figure F.3. Validation Macro F1 Curves</w:t>
      </w:r>
    </w:p>
    <w:p>
      <w:pPr>
        <w:pStyle w:val="Heading2"/>
      </w:pPr>
      <w:r>
        <w:t>F.4 Training Loss Curves</w:t>
      </w:r>
    </w:p>
    <w:p>
      <w:r>
        <w:rPr>
          <w:rFonts w:ascii="Times New Roman" w:hAnsi="Times New Roman"/>
          <w:sz w:val="24"/>
        </w:rPr>
        <w:t>Figure F.4 shows training loss curves for both production models. Decreasing cough CNN training loss and sputum ResNet18 training loss indicate improved fit during the reported training runs.</w:t>
      </w:r>
    </w:p>
    <w:p>
      <w:pPr>
        <w:jc w:val="center"/>
      </w:pPr>
      <w:r>
        <w:drawing>
          <wp:inline xmlns:a="http://schemas.openxmlformats.org/drawingml/2006/main" xmlns:pic="http://schemas.openxmlformats.org/drawingml/2006/picture">
            <wp:extent cx="5669280" cy="2062714"/>
            <wp:docPr id="4" name="Picture 4"/>
            <wp:cNvGraphicFramePr>
              <a:graphicFrameLocks noChangeAspect="1"/>
            </wp:cNvGraphicFramePr>
            <a:graphic>
              <a:graphicData uri="http://schemas.openxmlformats.org/drawingml/2006/picture">
                <pic:pic>
                  <pic:nvPicPr>
                    <pic:cNvPr id="0" name="appendix_f_4_train_loss_curves.png"/>
                    <pic:cNvPicPr/>
                  </pic:nvPicPr>
                  <pic:blipFill>
                    <a:blip r:embed="rId12"/>
                    <a:stretch>
                      <a:fillRect/>
                    </a:stretch>
                  </pic:blipFill>
                  <pic:spPr>
                    <a:xfrm>
                      <a:off x="0" y="0"/>
                      <a:ext cx="5669280" cy="2062714"/>
                    </a:xfrm>
                    <a:prstGeom prst="rect"/>
                  </pic:spPr>
                </pic:pic>
              </a:graphicData>
            </a:graphic>
          </wp:inline>
        </w:drawing>
      </w:r>
    </w:p>
    <w:p>
      <w:pPr>
        <w:jc w:val="center"/>
      </w:pPr>
      <w:r>
        <w:rPr>
          <w:rFonts w:ascii="Times New Roman" w:hAnsi="Times New Roman"/>
          <w:b/>
          <w:sz w:val="24"/>
        </w:rPr>
        <w:t>Figure F.4. Training Loss Curves</w:t>
      </w:r>
    </w:p>
    <w:p>
      <w:pPr>
        <w:pStyle w:val="Heading2"/>
      </w:pPr>
      <w:r>
        <w:t>F.5 Confusion Matrices</w:t>
      </w:r>
    </w:p>
    <w:p>
      <w:r>
        <w:rPr>
          <w:rFonts w:ascii="Times New Roman" w:hAnsi="Times New Roman"/>
          <w:sz w:val="24"/>
        </w:rPr>
        <w:t>Figure F.5 presents test-set confusion matrices for the hybrid cough classifier (n = 2,606) and the binary sputum AFB classifier (n = 216). Cough matrix: TN 1592, FP 212, FN 420, TP 382. Sputum matrix: TN 3, FP 3, FN 8, TP 202.</w:t>
      </w:r>
    </w:p>
    <w:p>
      <w:pPr>
        <w:jc w:val="center"/>
      </w:pPr>
      <w:r>
        <w:drawing>
          <wp:inline xmlns:a="http://schemas.openxmlformats.org/drawingml/2006/main" xmlns:pic="http://schemas.openxmlformats.org/drawingml/2006/picture">
            <wp:extent cx="5669280" cy="2658917"/>
            <wp:docPr id="5" name="Picture 5"/>
            <wp:cNvGraphicFramePr>
              <a:graphicFrameLocks noChangeAspect="1"/>
            </wp:cNvGraphicFramePr>
            <a:graphic>
              <a:graphicData uri="http://schemas.openxmlformats.org/drawingml/2006/picture">
                <pic:pic>
                  <pic:nvPicPr>
                    <pic:cNvPr id="0" name="appendix_f_5_confusion_matrices.png"/>
                    <pic:cNvPicPr/>
                  </pic:nvPicPr>
                  <pic:blipFill>
                    <a:blip r:embed="rId13"/>
                    <a:stretch>
                      <a:fillRect/>
                    </a:stretch>
                  </pic:blipFill>
                  <pic:spPr>
                    <a:xfrm>
                      <a:off x="0" y="0"/>
                      <a:ext cx="5669280" cy="2658917"/>
                    </a:xfrm>
                    <a:prstGeom prst="rect"/>
                  </pic:spPr>
                </pic:pic>
              </a:graphicData>
            </a:graphic>
          </wp:inline>
        </w:drawing>
      </w:r>
    </w:p>
    <w:p>
      <w:pPr>
        <w:jc w:val="center"/>
      </w:pPr>
      <w:r>
        <w:rPr>
          <w:rFonts w:ascii="Times New Roman" w:hAnsi="Times New Roman"/>
          <w:b/>
          <w:sz w:val="24"/>
        </w:rPr>
        <w:t>Figure F.5. Test-Set Confusion Matrices</w:t>
      </w:r>
    </w:p>
    <w:p>
      <w:pPr>
        <w:pStyle w:val="Heading2"/>
      </w:pPr>
      <w:r>
        <w:t>F.6 Training Summary Output</w:t>
      </w:r>
    </w:p>
    <w:p>
      <w:r>
        <w:rPr>
          <w:rFonts w:ascii="Times New Roman" w:hAnsi="Times New Roman"/>
          <w:sz w:val="24"/>
        </w:rPr>
        <w:t>Table F.6.1. Cough Hybrid Classifier — Production Test Summary (run 20260531_014419)</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Metric</w:t>
            </w:r>
          </w:p>
        </w:tc>
        <w:tc>
          <w:tcPr>
            <w:tcW w:type="dxa" w:w="4320"/>
          </w:tcPr>
          <w:p>
            <w:r>
              <w:rPr>
                <w:rFonts w:ascii="Times New Roman" w:hAnsi="Times New Roman"/>
                <w:b/>
                <w:sz w:val="22"/>
              </w:rPr>
              <w:t>Value</w:t>
            </w:r>
          </w:p>
        </w:tc>
      </w:tr>
      <w:tr>
        <w:tc>
          <w:tcPr>
            <w:tcW w:type="dxa" w:w="4320"/>
          </w:tcPr>
          <w:p>
            <w:r>
              <w:rPr>
                <w:rFonts w:ascii="Times New Roman" w:hAnsi="Times New Roman"/>
                <w:sz w:val="22"/>
              </w:rPr>
              <w:t>Test accuracy</w:t>
            </w:r>
          </w:p>
        </w:tc>
        <w:tc>
          <w:tcPr>
            <w:tcW w:type="dxa" w:w="4320"/>
          </w:tcPr>
          <w:p>
            <w:r>
              <w:rPr>
                <w:rFonts w:ascii="Times New Roman" w:hAnsi="Times New Roman"/>
                <w:sz w:val="22"/>
              </w:rPr>
              <w:t>75.75%</w:t>
            </w:r>
          </w:p>
        </w:tc>
      </w:tr>
      <w:tr>
        <w:tc>
          <w:tcPr>
            <w:tcW w:type="dxa" w:w="4320"/>
          </w:tcPr>
          <w:p>
            <w:r>
              <w:rPr>
                <w:rFonts w:ascii="Times New Roman" w:hAnsi="Times New Roman"/>
                <w:sz w:val="22"/>
              </w:rPr>
              <w:t>Macro F1</w:t>
            </w:r>
          </w:p>
        </w:tc>
        <w:tc>
          <w:tcPr>
            <w:tcW w:type="dxa" w:w="4320"/>
          </w:tcPr>
          <w:p>
            <w:r>
              <w:rPr>
                <w:rFonts w:ascii="Times New Roman" w:hAnsi="Times New Roman"/>
                <w:sz w:val="22"/>
              </w:rPr>
              <w:t>69.08%</w:t>
            </w:r>
          </w:p>
        </w:tc>
      </w:tr>
      <w:tr>
        <w:tc>
          <w:tcPr>
            <w:tcW w:type="dxa" w:w="4320"/>
          </w:tcPr>
          <w:p>
            <w:r>
              <w:rPr>
                <w:rFonts w:ascii="Times New Roman" w:hAnsi="Times New Roman"/>
                <w:sz w:val="22"/>
              </w:rPr>
              <w:t>Non-TB precision</w:t>
            </w:r>
          </w:p>
        </w:tc>
        <w:tc>
          <w:tcPr>
            <w:tcW w:type="dxa" w:w="4320"/>
          </w:tcPr>
          <w:p>
            <w:r>
              <w:rPr>
                <w:rFonts w:ascii="Times New Roman" w:hAnsi="Times New Roman"/>
                <w:sz w:val="22"/>
              </w:rPr>
              <w:t>79.13%</w:t>
            </w:r>
          </w:p>
        </w:tc>
      </w:tr>
      <w:tr>
        <w:tc>
          <w:tcPr>
            <w:tcW w:type="dxa" w:w="4320"/>
          </w:tcPr>
          <w:p>
            <w:r>
              <w:rPr>
                <w:rFonts w:ascii="Times New Roman" w:hAnsi="Times New Roman"/>
                <w:sz w:val="22"/>
              </w:rPr>
              <w:t>TB precision</w:t>
            </w:r>
          </w:p>
        </w:tc>
        <w:tc>
          <w:tcPr>
            <w:tcW w:type="dxa" w:w="4320"/>
          </w:tcPr>
          <w:p>
            <w:r>
              <w:rPr>
                <w:rFonts w:ascii="Times New Roman" w:hAnsi="Times New Roman"/>
                <w:sz w:val="22"/>
              </w:rPr>
              <w:t>64.31%</w:t>
            </w:r>
          </w:p>
        </w:tc>
      </w:tr>
      <w:tr>
        <w:tc>
          <w:tcPr>
            <w:tcW w:type="dxa" w:w="4320"/>
          </w:tcPr>
          <w:p>
            <w:r>
              <w:rPr>
                <w:rFonts w:ascii="Times New Roman" w:hAnsi="Times New Roman"/>
                <w:sz w:val="22"/>
              </w:rPr>
              <w:t>Non-TB recall</w:t>
            </w:r>
          </w:p>
        </w:tc>
        <w:tc>
          <w:tcPr>
            <w:tcW w:type="dxa" w:w="4320"/>
          </w:tcPr>
          <w:p>
            <w:r>
              <w:rPr>
                <w:rFonts w:ascii="Times New Roman" w:hAnsi="Times New Roman"/>
                <w:sz w:val="22"/>
              </w:rPr>
              <w:t>88.25%</w:t>
            </w:r>
          </w:p>
        </w:tc>
      </w:tr>
      <w:tr>
        <w:tc>
          <w:tcPr>
            <w:tcW w:type="dxa" w:w="4320"/>
          </w:tcPr>
          <w:p>
            <w:r>
              <w:rPr>
                <w:rFonts w:ascii="Times New Roman" w:hAnsi="Times New Roman"/>
                <w:sz w:val="22"/>
              </w:rPr>
              <w:t>TB recall</w:t>
            </w:r>
          </w:p>
        </w:tc>
        <w:tc>
          <w:tcPr>
            <w:tcW w:type="dxa" w:w="4320"/>
          </w:tcPr>
          <w:p>
            <w:r>
              <w:rPr>
                <w:rFonts w:ascii="Times New Roman" w:hAnsi="Times New Roman"/>
                <w:sz w:val="22"/>
              </w:rPr>
              <w:t>47.63%</w:t>
            </w:r>
          </w:p>
        </w:tc>
      </w:tr>
      <w:tr>
        <w:tc>
          <w:tcPr>
            <w:tcW w:type="dxa" w:w="4320"/>
          </w:tcPr>
          <w:p>
            <w:r>
              <w:rPr>
                <w:rFonts w:ascii="Times New Roman" w:hAnsi="Times New Roman"/>
                <w:sz w:val="22"/>
              </w:rPr>
              <w:t>CNN blend weight</w:t>
            </w:r>
          </w:p>
        </w:tc>
        <w:tc>
          <w:tcPr>
            <w:tcW w:type="dxa" w:w="4320"/>
          </w:tcPr>
          <w:p>
            <w:r>
              <w:rPr>
                <w:rFonts w:ascii="Times New Roman" w:hAnsi="Times New Roman"/>
                <w:sz w:val="22"/>
              </w:rPr>
              <w:t>0.05</w:t>
            </w:r>
          </w:p>
        </w:tc>
      </w:tr>
      <w:tr>
        <w:tc>
          <w:tcPr>
            <w:tcW w:type="dxa" w:w="4320"/>
          </w:tcPr>
          <w:p>
            <w:r>
              <w:rPr>
                <w:rFonts w:ascii="Times New Roman" w:hAnsi="Times New Roman"/>
                <w:sz w:val="22"/>
              </w:rPr>
              <w:t>Decision threshold</w:t>
            </w:r>
          </w:p>
        </w:tc>
        <w:tc>
          <w:tcPr>
            <w:tcW w:type="dxa" w:w="4320"/>
          </w:tcPr>
          <w:p>
            <w:r>
              <w:rPr>
                <w:rFonts w:ascii="Times New Roman" w:hAnsi="Times New Roman"/>
                <w:sz w:val="22"/>
              </w:rPr>
              <w:t>0.395</w:t>
            </w:r>
          </w:p>
        </w:tc>
      </w:tr>
      <w:tr>
        <w:tc>
          <w:tcPr>
            <w:tcW w:type="dxa" w:w="4320"/>
          </w:tcPr>
          <w:p>
            <w:r>
              <w:rPr>
                <w:rFonts w:ascii="Times New Roman" w:hAnsi="Times New Roman"/>
                <w:sz w:val="22"/>
              </w:rPr>
              <w:t>Test samples (n)</w:t>
            </w:r>
          </w:p>
        </w:tc>
        <w:tc>
          <w:tcPr>
            <w:tcW w:type="dxa" w:w="4320"/>
          </w:tcPr>
          <w:p>
            <w:r>
              <w:rPr>
                <w:rFonts w:ascii="Times New Roman" w:hAnsi="Times New Roman"/>
                <w:sz w:val="22"/>
              </w:rPr>
              <w:t>2,606</w:t>
            </w:r>
          </w:p>
        </w:tc>
      </w:tr>
    </w:tbl>
    <w:p/>
    <w:p>
      <w:r>
        <w:rPr>
          <w:rFonts w:ascii="Times New Roman" w:hAnsi="Times New Roman"/>
          <w:sz w:val="24"/>
        </w:rPr>
        <w:t>Table F.6.2. Sputum ResNet18 AFB Binary Classifier — Production Test Summary (phlegm_afb_binary_20260531_133949)</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Metric</w:t>
            </w:r>
          </w:p>
        </w:tc>
        <w:tc>
          <w:tcPr>
            <w:tcW w:type="dxa" w:w="4320"/>
          </w:tcPr>
          <w:p>
            <w:r>
              <w:rPr>
                <w:rFonts w:ascii="Times New Roman" w:hAnsi="Times New Roman"/>
                <w:b/>
                <w:sz w:val="22"/>
              </w:rPr>
              <w:t>Value</w:t>
            </w:r>
          </w:p>
        </w:tc>
      </w:tr>
      <w:tr>
        <w:tc>
          <w:tcPr>
            <w:tcW w:type="dxa" w:w="4320"/>
          </w:tcPr>
          <w:p>
            <w:r>
              <w:rPr>
                <w:rFonts w:ascii="Times New Roman" w:hAnsi="Times New Roman"/>
                <w:sz w:val="22"/>
              </w:rPr>
              <w:t>Test accuracy</w:t>
            </w:r>
          </w:p>
        </w:tc>
        <w:tc>
          <w:tcPr>
            <w:tcW w:type="dxa" w:w="4320"/>
          </w:tcPr>
          <w:p>
            <w:r>
              <w:rPr>
                <w:rFonts w:ascii="Times New Roman" w:hAnsi="Times New Roman"/>
                <w:sz w:val="22"/>
              </w:rPr>
              <w:t>94.91%</w:t>
            </w:r>
          </w:p>
        </w:tc>
      </w:tr>
      <w:tr>
        <w:tc>
          <w:tcPr>
            <w:tcW w:type="dxa" w:w="4320"/>
          </w:tcPr>
          <w:p>
            <w:r>
              <w:rPr>
                <w:rFonts w:ascii="Times New Roman" w:hAnsi="Times New Roman"/>
                <w:sz w:val="22"/>
              </w:rPr>
              <w:t>Macro F1</w:t>
            </w:r>
          </w:p>
        </w:tc>
        <w:tc>
          <w:tcPr>
            <w:tcW w:type="dxa" w:w="4320"/>
          </w:tcPr>
          <w:p>
            <w:r>
              <w:rPr>
                <w:rFonts w:ascii="Times New Roman" w:hAnsi="Times New Roman"/>
                <w:sz w:val="22"/>
              </w:rPr>
              <w:t>66.32%</w:t>
            </w:r>
          </w:p>
        </w:tc>
      </w:tr>
      <w:tr>
        <w:tc>
          <w:tcPr>
            <w:tcW w:type="dxa" w:w="4320"/>
          </w:tcPr>
          <w:p>
            <w:r>
              <w:rPr>
                <w:rFonts w:ascii="Times New Roman" w:hAnsi="Times New Roman"/>
                <w:sz w:val="22"/>
              </w:rPr>
              <w:t>AFB+ sensitivity (recall)</w:t>
            </w:r>
          </w:p>
        </w:tc>
        <w:tc>
          <w:tcPr>
            <w:tcW w:type="dxa" w:w="4320"/>
          </w:tcPr>
          <w:p>
            <w:r>
              <w:rPr>
                <w:rFonts w:ascii="Times New Roman" w:hAnsi="Times New Roman"/>
                <w:sz w:val="22"/>
              </w:rPr>
              <w:t>96.19%</w:t>
            </w:r>
          </w:p>
        </w:tc>
      </w:tr>
      <w:tr>
        <w:tc>
          <w:tcPr>
            <w:tcW w:type="dxa" w:w="4320"/>
          </w:tcPr>
          <w:p>
            <w:r>
              <w:rPr>
                <w:rFonts w:ascii="Times New Roman" w:hAnsi="Times New Roman"/>
                <w:sz w:val="22"/>
              </w:rPr>
              <w:t>AFB− specificity</w:t>
            </w:r>
          </w:p>
        </w:tc>
        <w:tc>
          <w:tcPr>
            <w:tcW w:type="dxa" w:w="4320"/>
          </w:tcPr>
          <w:p>
            <w:r>
              <w:rPr>
                <w:rFonts w:ascii="Times New Roman" w:hAnsi="Times New Roman"/>
                <w:sz w:val="22"/>
              </w:rPr>
              <w:t>50.00%</w:t>
            </w:r>
          </w:p>
        </w:tc>
      </w:tr>
      <w:tr>
        <w:tc>
          <w:tcPr>
            <w:tcW w:type="dxa" w:w="4320"/>
          </w:tcPr>
          <w:p>
            <w:r>
              <w:rPr>
                <w:rFonts w:ascii="Times New Roman" w:hAnsi="Times New Roman"/>
                <w:sz w:val="22"/>
              </w:rPr>
              <w:t>AFB+ precision</w:t>
            </w:r>
          </w:p>
        </w:tc>
        <w:tc>
          <w:tcPr>
            <w:tcW w:type="dxa" w:w="4320"/>
          </w:tcPr>
          <w:p>
            <w:r>
              <w:rPr>
                <w:rFonts w:ascii="Times New Roman" w:hAnsi="Times New Roman"/>
                <w:sz w:val="22"/>
              </w:rPr>
              <w:t>98.54%</w:t>
            </w:r>
          </w:p>
        </w:tc>
      </w:tr>
      <w:tr>
        <w:tc>
          <w:tcPr>
            <w:tcW w:type="dxa" w:w="4320"/>
          </w:tcPr>
          <w:p>
            <w:r>
              <w:rPr>
                <w:rFonts w:ascii="Times New Roman" w:hAnsi="Times New Roman"/>
                <w:sz w:val="22"/>
              </w:rPr>
              <w:t>Decision threshold</w:t>
            </w:r>
          </w:p>
        </w:tc>
        <w:tc>
          <w:tcPr>
            <w:tcW w:type="dxa" w:w="4320"/>
          </w:tcPr>
          <w:p>
            <w:r>
              <w:rPr>
                <w:rFonts w:ascii="Times New Roman" w:hAnsi="Times New Roman"/>
                <w:sz w:val="22"/>
              </w:rPr>
              <w:t>0.63</w:t>
            </w:r>
          </w:p>
        </w:tc>
      </w:tr>
      <w:tr>
        <w:tc>
          <w:tcPr>
            <w:tcW w:type="dxa" w:w="4320"/>
          </w:tcPr>
          <w:p>
            <w:r>
              <w:rPr>
                <w:rFonts w:ascii="Times New Roman" w:hAnsi="Times New Roman"/>
                <w:sz w:val="22"/>
              </w:rPr>
              <w:t>Min. sensitivity constraint</w:t>
            </w:r>
          </w:p>
        </w:tc>
        <w:tc>
          <w:tcPr>
            <w:tcW w:type="dxa" w:w="4320"/>
          </w:tcPr>
          <w:p>
            <w:r>
              <w:rPr>
                <w:rFonts w:ascii="Times New Roman" w:hAnsi="Times New Roman"/>
                <w:sz w:val="22"/>
              </w:rPr>
              <w:t>95.00%</w:t>
            </w:r>
          </w:p>
        </w:tc>
      </w:tr>
      <w:tr>
        <w:tc>
          <w:tcPr>
            <w:tcW w:type="dxa" w:w="4320"/>
          </w:tcPr>
          <w:p>
            <w:r>
              <w:rPr>
                <w:rFonts w:ascii="Times New Roman" w:hAnsi="Times New Roman"/>
                <w:sz w:val="22"/>
              </w:rPr>
              <w:t>Test samples (n)</w:t>
            </w:r>
          </w:p>
        </w:tc>
        <w:tc>
          <w:tcPr>
            <w:tcW w:type="dxa" w:w="4320"/>
          </w:tcPr>
          <w:p>
            <w:r>
              <w:rPr>
                <w:rFonts w:ascii="Times New Roman" w:hAnsi="Times New Roman"/>
                <w:sz w:val="22"/>
              </w:rPr>
              <w:t>216</w:t>
            </w:r>
          </w:p>
        </w:tc>
      </w:tr>
    </w:tbl>
    <w:p/>
    <w:p>
      <w:r>
        <w:rPr>
          <w:rFonts w:ascii="Times New Roman" w:hAnsi="Times New Roman"/>
          <w:sz w:val="24"/>
        </w:rPr>
        <w:t>Table F.6.3. Cough CNN Branch — Per-Epoch Validation Log (8 epochs)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Epoch</w:t>
            </w:r>
          </w:p>
        </w:tc>
        <w:tc>
          <w:tcPr>
            <w:tcW w:type="dxa" w:w="2160"/>
          </w:tcPr>
          <w:p>
            <w:r>
              <w:rPr>
                <w:rFonts w:ascii="Times New Roman" w:hAnsi="Times New Roman"/>
                <w:b/>
                <w:sz w:val="22"/>
              </w:rPr>
              <w:t>Train Loss</w:t>
            </w:r>
          </w:p>
        </w:tc>
        <w:tc>
          <w:tcPr>
            <w:tcW w:type="dxa" w:w="2160"/>
          </w:tcPr>
          <w:p>
            <w:r>
              <w:rPr>
                <w:rFonts w:ascii="Times New Roman" w:hAnsi="Times New Roman"/>
                <w:b/>
                <w:sz w:val="22"/>
              </w:rPr>
              <w:t>Val Accuracy</w:t>
            </w:r>
          </w:p>
        </w:tc>
        <w:tc>
          <w:tcPr>
            <w:tcW w:type="dxa" w:w="2160"/>
          </w:tcPr>
          <w:p>
            <w:r>
              <w:rPr>
                <w:rFonts w:ascii="Times New Roman" w:hAnsi="Times New Roman"/>
                <w:b/>
                <w:sz w:val="22"/>
              </w:rPr>
              <w:t>Val Macro F1</w:t>
            </w:r>
          </w:p>
        </w:tc>
      </w:tr>
      <w:tr>
        <w:tc>
          <w:tcPr>
            <w:tcW w:type="dxa" w:w="2160"/>
          </w:tcPr>
          <w:p>
            <w:r>
              <w:rPr>
                <w:rFonts w:ascii="Times New Roman" w:hAnsi="Times New Roman"/>
                <w:sz w:val="22"/>
              </w:rPr>
              <w:t>1</w:t>
            </w:r>
          </w:p>
        </w:tc>
        <w:tc>
          <w:tcPr>
            <w:tcW w:type="dxa" w:w="2160"/>
          </w:tcPr>
          <w:p>
            <w:r>
              <w:rPr>
                <w:rFonts w:ascii="Times New Roman" w:hAnsi="Times New Roman"/>
                <w:sz w:val="22"/>
              </w:rPr>
              <w:t>0.6912</w:t>
            </w:r>
          </w:p>
        </w:tc>
        <w:tc>
          <w:tcPr>
            <w:tcW w:type="dxa" w:w="2160"/>
          </w:tcPr>
          <w:p>
            <w:r>
              <w:rPr>
                <w:rFonts w:ascii="Times New Roman" w:hAnsi="Times New Roman"/>
                <w:sz w:val="22"/>
              </w:rPr>
              <w:t>70.29%</w:t>
            </w:r>
          </w:p>
        </w:tc>
        <w:tc>
          <w:tcPr>
            <w:tcW w:type="dxa" w:w="2160"/>
          </w:tcPr>
          <w:p>
            <w:r>
              <w:rPr>
                <w:rFonts w:ascii="Times New Roman" w:hAnsi="Times New Roman"/>
                <w:sz w:val="22"/>
              </w:rPr>
              <w:t>41.28%</w:t>
            </w:r>
          </w:p>
        </w:tc>
      </w:tr>
      <w:tr>
        <w:tc>
          <w:tcPr>
            <w:tcW w:type="dxa" w:w="2160"/>
          </w:tcPr>
          <w:p>
            <w:r>
              <w:rPr>
                <w:rFonts w:ascii="Times New Roman" w:hAnsi="Times New Roman"/>
                <w:sz w:val="22"/>
              </w:rPr>
              <w:t>2</w:t>
            </w:r>
          </w:p>
        </w:tc>
        <w:tc>
          <w:tcPr>
            <w:tcW w:type="dxa" w:w="2160"/>
          </w:tcPr>
          <w:p>
            <w:r>
              <w:rPr>
                <w:rFonts w:ascii="Times New Roman" w:hAnsi="Times New Roman"/>
                <w:sz w:val="22"/>
              </w:rPr>
              <w:t>0.6868</w:t>
            </w:r>
          </w:p>
        </w:tc>
        <w:tc>
          <w:tcPr>
            <w:tcW w:type="dxa" w:w="2160"/>
          </w:tcPr>
          <w:p>
            <w:r>
              <w:rPr>
                <w:rFonts w:ascii="Times New Roman" w:hAnsi="Times New Roman"/>
                <w:sz w:val="22"/>
              </w:rPr>
              <w:t>70.29%</w:t>
            </w:r>
          </w:p>
        </w:tc>
        <w:tc>
          <w:tcPr>
            <w:tcW w:type="dxa" w:w="2160"/>
          </w:tcPr>
          <w:p>
            <w:r>
              <w:rPr>
                <w:rFonts w:ascii="Times New Roman" w:hAnsi="Times New Roman"/>
                <w:sz w:val="22"/>
              </w:rPr>
              <w:t>41.28%</w:t>
            </w:r>
          </w:p>
        </w:tc>
      </w:tr>
      <w:tr>
        <w:tc>
          <w:tcPr>
            <w:tcW w:type="dxa" w:w="2160"/>
          </w:tcPr>
          <w:p>
            <w:r>
              <w:rPr>
                <w:rFonts w:ascii="Times New Roman" w:hAnsi="Times New Roman"/>
                <w:sz w:val="22"/>
              </w:rPr>
              <w:t>3</w:t>
            </w:r>
          </w:p>
        </w:tc>
        <w:tc>
          <w:tcPr>
            <w:tcW w:type="dxa" w:w="2160"/>
          </w:tcPr>
          <w:p>
            <w:r>
              <w:rPr>
                <w:rFonts w:ascii="Times New Roman" w:hAnsi="Times New Roman"/>
                <w:sz w:val="22"/>
              </w:rPr>
              <w:t>0.6860</w:t>
            </w:r>
          </w:p>
        </w:tc>
        <w:tc>
          <w:tcPr>
            <w:tcW w:type="dxa" w:w="2160"/>
          </w:tcPr>
          <w:p>
            <w:r>
              <w:rPr>
                <w:rFonts w:ascii="Times New Roman" w:hAnsi="Times New Roman"/>
                <w:sz w:val="22"/>
              </w:rPr>
              <w:t>70.29%</w:t>
            </w:r>
          </w:p>
        </w:tc>
        <w:tc>
          <w:tcPr>
            <w:tcW w:type="dxa" w:w="2160"/>
          </w:tcPr>
          <w:p>
            <w:r>
              <w:rPr>
                <w:rFonts w:ascii="Times New Roman" w:hAnsi="Times New Roman"/>
                <w:sz w:val="22"/>
              </w:rPr>
              <w:t>41.28%</w:t>
            </w:r>
          </w:p>
        </w:tc>
      </w:tr>
      <w:tr>
        <w:tc>
          <w:tcPr>
            <w:tcW w:type="dxa" w:w="2160"/>
          </w:tcPr>
          <w:p>
            <w:r>
              <w:rPr>
                <w:rFonts w:ascii="Times New Roman" w:hAnsi="Times New Roman"/>
                <w:sz w:val="22"/>
              </w:rPr>
              <w:t>4</w:t>
            </w:r>
          </w:p>
        </w:tc>
        <w:tc>
          <w:tcPr>
            <w:tcW w:type="dxa" w:w="2160"/>
          </w:tcPr>
          <w:p>
            <w:r>
              <w:rPr>
                <w:rFonts w:ascii="Times New Roman" w:hAnsi="Times New Roman"/>
                <w:sz w:val="22"/>
              </w:rPr>
              <w:t>0.6836</w:t>
            </w:r>
          </w:p>
        </w:tc>
        <w:tc>
          <w:tcPr>
            <w:tcW w:type="dxa" w:w="2160"/>
          </w:tcPr>
          <w:p>
            <w:r>
              <w:rPr>
                <w:rFonts w:ascii="Times New Roman" w:hAnsi="Times New Roman"/>
                <w:sz w:val="22"/>
              </w:rPr>
              <w:t>70.29%</w:t>
            </w:r>
          </w:p>
        </w:tc>
        <w:tc>
          <w:tcPr>
            <w:tcW w:type="dxa" w:w="2160"/>
          </w:tcPr>
          <w:p>
            <w:r>
              <w:rPr>
                <w:rFonts w:ascii="Times New Roman" w:hAnsi="Times New Roman"/>
                <w:sz w:val="22"/>
              </w:rPr>
              <w:t>41.28%</w:t>
            </w:r>
          </w:p>
        </w:tc>
      </w:tr>
      <w:tr>
        <w:tc>
          <w:tcPr>
            <w:tcW w:type="dxa" w:w="2160"/>
          </w:tcPr>
          <w:p>
            <w:r>
              <w:rPr>
                <w:rFonts w:ascii="Times New Roman" w:hAnsi="Times New Roman"/>
                <w:sz w:val="22"/>
              </w:rPr>
              <w:t>5</w:t>
            </w:r>
          </w:p>
        </w:tc>
        <w:tc>
          <w:tcPr>
            <w:tcW w:type="dxa" w:w="2160"/>
          </w:tcPr>
          <w:p>
            <w:r>
              <w:rPr>
                <w:rFonts w:ascii="Times New Roman" w:hAnsi="Times New Roman"/>
                <w:sz w:val="22"/>
              </w:rPr>
              <w:t>0.6837</w:t>
            </w:r>
          </w:p>
        </w:tc>
        <w:tc>
          <w:tcPr>
            <w:tcW w:type="dxa" w:w="2160"/>
          </w:tcPr>
          <w:p>
            <w:r>
              <w:rPr>
                <w:rFonts w:ascii="Times New Roman" w:hAnsi="Times New Roman"/>
                <w:sz w:val="22"/>
              </w:rPr>
              <w:t>70.29%</w:t>
            </w:r>
          </w:p>
        </w:tc>
        <w:tc>
          <w:tcPr>
            <w:tcW w:type="dxa" w:w="2160"/>
          </w:tcPr>
          <w:p>
            <w:r>
              <w:rPr>
                <w:rFonts w:ascii="Times New Roman" w:hAnsi="Times New Roman"/>
                <w:sz w:val="22"/>
              </w:rPr>
              <w:t>41.28%</w:t>
            </w:r>
          </w:p>
        </w:tc>
      </w:tr>
      <w:tr>
        <w:tc>
          <w:tcPr>
            <w:tcW w:type="dxa" w:w="2160"/>
          </w:tcPr>
          <w:p>
            <w:r>
              <w:rPr>
                <w:rFonts w:ascii="Times New Roman" w:hAnsi="Times New Roman"/>
                <w:sz w:val="22"/>
              </w:rPr>
              <w:t>6</w:t>
            </w:r>
          </w:p>
        </w:tc>
        <w:tc>
          <w:tcPr>
            <w:tcW w:type="dxa" w:w="2160"/>
          </w:tcPr>
          <w:p>
            <w:r>
              <w:rPr>
                <w:rFonts w:ascii="Times New Roman" w:hAnsi="Times New Roman"/>
                <w:sz w:val="22"/>
              </w:rPr>
              <w:t>0.6773</w:t>
            </w:r>
          </w:p>
        </w:tc>
        <w:tc>
          <w:tcPr>
            <w:tcW w:type="dxa" w:w="2160"/>
          </w:tcPr>
          <w:p>
            <w:r>
              <w:rPr>
                <w:rFonts w:ascii="Times New Roman" w:hAnsi="Times New Roman"/>
                <w:sz w:val="22"/>
              </w:rPr>
              <w:t>70.29%</w:t>
            </w:r>
          </w:p>
        </w:tc>
        <w:tc>
          <w:tcPr>
            <w:tcW w:type="dxa" w:w="2160"/>
          </w:tcPr>
          <w:p>
            <w:r>
              <w:rPr>
                <w:rFonts w:ascii="Times New Roman" w:hAnsi="Times New Roman"/>
                <w:sz w:val="22"/>
              </w:rPr>
              <w:t>41.28%</w:t>
            </w:r>
          </w:p>
        </w:tc>
      </w:tr>
      <w:tr>
        <w:tc>
          <w:tcPr>
            <w:tcW w:type="dxa" w:w="2160"/>
          </w:tcPr>
          <w:p>
            <w:r>
              <w:rPr>
                <w:rFonts w:ascii="Times New Roman" w:hAnsi="Times New Roman"/>
                <w:sz w:val="22"/>
              </w:rPr>
              <w:t>7</w:t>
            </w:r>
          </w:p>
        </w:tc>
        <w:tc>
          <w:tcPr>
            <w:tcW w:type="dxa" w:w="2160"/>
          </w:tcPr>
          <w:p>
            <w:r>
              <w:rPr>
                <w:rFonts w:ascii="Times New Roman" w:hAnsi="Times New Roman"/>
                <w:sz w:val="22"/>
              </w:rPr>
              <w:t>0.6766</w:t>
            </w:r>
          </w:p>
        </w:tc>
        <w:tc>
          <w:tcPr>
            <w:tcW w:type="dxa" w:w="2160"/>
          </w:tcPr>
          <w:p>
            <w:r>
              <w:rPr>
                <w:rFonts w:ascii="Times New Roman" w:hAnsi="Times New Roman"/>
                <w:sz w:val="22"/>
              </w:rPr>
              <w:t>70.29%</w:t>
            </w:r>
          </w:p>
        </w:tc>
        <w:tc>
          <w:tcPr>
            <w:tcW w:type="dxa" w:w="2160"/>
          </w:tcPr>
          <w:p>
            <w:r>
              <w:rPr>
                <w:rFonts w:ascii="Times New Roman" w:hAnsi="Times New Roman"/>
                <w:sz w:val="22"/>
              </w:rPr>
              <w:t>41.28%</w:t>
            </w:r>
          </w:p>
        </w:tc>
      </w:tr>
      <w:tr>
        <w:tc>
          <w:tcPr>
            <w:tcW w:type="dxa" w:w="2160"/>
          </w:tcPr>
          <w:p>
            <w:r>
              <w:rPr>
                <w:rFonts w:ascii="Times New Roman" w:hAnsi="Times New Roman"/>
                <w:sz w:val="22"/>
              </w:rPr>
              <w:t>8</w:t>
            </w:r>
          </w:p>
        </w:tc>
        <w:tc>
          <w:tcPr>
            <w:tcW w:type="dxa" w:w="2160"/>
          </w:tcPr>
          <w:p>
            <w:r>
              <w:rPr>
                <w:rFonts w:ascii="Times New Roman" w:hAnsi="Times New Roman"/>
                <w:sz w:val="22"/>
              </w:rPr>
              <w:t>0.6771</w:t>
            </w:r>
          </w:p>
        </w:tc>
        <w:tc>
          <w:tcPr>
            <w:tcW w:type="dxa" w:w="2160"/>
          </w:tcPr>
          <w:p>
            <w:r>
              <w:rPr>
                <w:rFonts w:ascii="Times New Roman" w:hAnsi="Times New Roman"/>
                <w:sz w:val="22"/>
              </w:rPr>
              <w:t>70.29%</w:t>
            </w:r>
          </w:p>
        </w:tc>
        <w:tc>
          <w:tcPr>
            <w:tcW w:type="dxa" w:w="2160"/>
          </w:tcPr>
          <w:p>
            <w:r>
              <w:rPr>
                <w:rFonts w:ascii="Times New Roman" w:hAnsi="Times New Roman"/>
                <w:sz w:val="22"/>
              </w:rPr>
              <w:t>41.28%</w:t>
            </w:r>
          </w:p>
        </w:tc>
      </w:tr>
    </w:tbl>
    <w:p/>
    <w:p>
      <w:r>
        <w:rPr>
          <w:rFonts w:ascii="Times New Roman" w:hAnsi="Times New Roman"/>
          <w:sz w:val="24"/>
        </w:rPr>
        <w:t>Table F.6.4. Cough Hybrid Classifier — Per-Class Test Metrics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2"/>
              </w:rPr>
              <w:t>Class</w:t>
            </w:r>
          </w:p>
        </w:tc>
        <w:tc>
          <w:tcPr>
            <w:tcW w:type="dxa" w:w="1728"/>
          </w:tcPr>
          <w:p>
            <w:r>
              <w:rPr>
                <w:rFonts w:ascii="Times New Roman" w:hAnsi="Times New Roman"/>
                <w:b/>
                <w:sz w:val="22"/>
              </w:rPr>
              <w:t>Precision</w:t>
            </w:r>
          </w:p>
        </w:tc>
        <w:tc>
          <w:tcPr>
            <w:tcW w:type="dxa" w:w="1728"/>
          </w:tcPr>
          <w:p>
            <w:r>
              <w:rPr>
                <w:rFonts w:ascii="Times New Roman" w:hAnsi="Times New Roman"/>
                <w:b/>
                <w:sz w:val="22"/>
              </w:rPr>
              <w:t>Recall</w:t>
            </w:r>
          </w:p>
        </w:tc>
        <w:tc>
          <w:tcPr>
            <w:tcW w:type="dxa" w:w="1728"/>
          </w:tcPr>
          <w:p>
            <w:r>
              <w:rPr>
                <w:rFonts w:ascii="Times New Roman" w:hAnsi="Times New Roman"/>
                <w:b/>
                <w:sz w:val="22"/>
              </w:rPr>
              <w:t>F1-Score</w:t>
            </w:r>
          </w:p>
        </w:tc>
        <w:tc>
          <w:tcPr>
            <w:tcW w:type="dxa" w:w="1728"/>
          </w:tcPr>
          <w:p>
            <w:r>
              <w:rPr>
                <w:rFonts w:ascii="Times New Roman" w:hAnsi="Times New Roman"/>
                <w:b/>
                <w:sz w:val="22"/>
              </w:rPr>
              <w:t>Support</w:t>
            </w:r>
          </w:p>
        </w:tc>
      </w:tr>
      <w:tr>
        <w:tc>
          <w:tcPr>
            <w:tcW w:type="dxa" w:w="1728"/>
          </w:tcPr>
          <w:p>
            <w:r>
              <w:rPr>
                <w:rFonts w:ascii="Times New Roman" w:hAnsi="Times New Roman"/>
                <w:sz w:val="22"/>
              </w:rPr>
              <w:t>Non-TB (0)</w:t>
            </w:r>
          </w:p>
        </w:tc>
        <w:tc>
          <w:tcPr>
            <w:tcW w:type="dxa" w:w="1728"/>
          </w:tcPr>
          <w:p>
            <w:r>
              <w:rPr>
                <w:rFonts w:ascii="Times New Roman" w:hAnsi="Times New Roman"/>
                <w:sz w:val="22"/>
              </w:rPr>
              <w:t>79.13%</w:t>
            </w:r>
          </w:p>
        </w:tc>
        <w:tc>
          <w:tcPr>
            <w:tcW w:type="dxa" w:w="1728"/>
          </w:tcPr>
          <w:p>
            <w:r>
              <w:rPr>
                <w:rFonts w:ascii="Times New Roman" w:hAnsi="Times New Roman"/>
                <w:sz w:val="22"/>
              </w:rPr>
              <w:t>88.25%</w:t>
            </w:r>
          </w:p>
        </w:tc>
        <w:tc>
          <w:tcPr>
            <w:tcW w:type="dxa" w:w="1728"/>
          </w:tcPr>
          <w:p>
            <w:r>
              <w:rPr>
                <w:rFonts w:ascii="Times New Roman" w:hAnsi="Times New Roman"/>
                <w:sz w:val="22"/>
              </w:rPr>
              <w:t>83.44%</w:t>
            </w:r>
          </w:p>
        </w:tc>
        <w:tc>
          <w:tcPr>
            <w:tcW w:type="dxa" w:w="1728"/>
          </w:tcPr>
          <w:p>
            <w:r>
              <w:rPr>
                <w:rFonts w:ascii="Times New Roman" w:hAnsi="Times New Roman"/>
                <w:sz w:val="22"/>
              </w:rPr>
              <w:t>1,804</w:t>
            </w:r>
          </w:p>
        </w:tc>
      </w:tr>
      <w:tr>
        <w:tc>
          <w:tcPr>
            <w:tcW w:type="dxa" w:w="1728"/>
          </w:tcPr>
          <w:p>
            <w:r>
              <w:rPr>
                <w:rFonts w:ascii="Times New Roman" w:hAnsi="Times New Roman"/>
                <w:sz w:val="22"/>
              </w:rPr>
              <w:t>TB (1)</w:t>
            </w:r>
          </w:p>
        </w:tc>
        <w:tc>
          <w:tcPr>
            <w:tcW w:type="dxa" w:w="1728"/>
          </w:tcPr>
          <w:p>
            <w:r>
              <w:rPr>
                <w:rFonts w:ascii="Times New Roman" w:hAnsi="Times New Roman"/>
                <w:sz w:val="22"/>
              </w:rPr>
              <w:t>64.31%</w:t>
            </w:r>
          </w:p>
        </w:tc>
        <w:tc>
          <w:tcPr>
            <w:tcW w:type="dxa" w:w="1728"/>
          </w:tcPr>
          <w:p>
            <w:r>
              <w:rPr>
                <w:rFonts w:ascii="Times New Roman" w:hAnsi="Times New Roman"/>
                <w:sz w:val="22"/>
              </w:rPr>
              <w:t>47.63%</w:t>
            </w:r>
          </w:p>
        </w:tc>
        <w:tc>
          <w:tcPr>
            <w:tcW w:type="dxa" w:w="1728"/>
          </w:tcPr>
          <w:p>
            <w:r>
              <w:rPr>
                <w:rFonts w:ascii="Times New Roman" w:hAnsi="Times New Roman"/>
                <w:sz w:val="22"/>
              </w:rPr>
              <w:t>54.73%</w:t>
            </w:r>
          </w:p>
        </w:tc>
        <w:tc>
          <w:tcPr>
            <w:tcW w:type="dxa" w:w="1728"/>
          </w:tcPr>
          <w:p>
            <w:r>
              <w:rPr>
                <w:rFonts w:ascii="Times New Roman" w:hAnsi="Times New Roman"/>
                <w:sz w:val="22"/>
              </w:rPr>
              <w:t>802</w:t>
            </w:r>
          </w:p>
        </w:tc>
      </w:tr>
      <w:tr>
        <w:tc>
          <w:tcPr>
            <w:tcW w:type="dxa" w:w="1728"/>
          </w:tcPr>
          <w:p>
            <w:r>
              <w:rPr>
                <w:rFonts w:ascii="Times New Roman" w:hAnsi="Times New Roman"/>
                <w:sz w:val="22"/>
              </w:rPr>
              <w:t>Macro average</w:t>
            </w:r>
          </w:p>
        </w:tc>
        <w:tc>
          <w:tcPr>
            <w:tcW w:type="dxa" w:w="1728"/>
          </w:tcPr>
          <w:p>
            <w:r>
              <w:rPr>
                <w:rFonts w:ascii="Times New Roman" w:hAnsi="Times New Roman"/>
                <w:sz w:val="22"/>
              </w:rPr>
              <w:t>71.72%</w:t>
            </w:r>
          </w:p>
        </w:tc>
        <w:tc>
          <w:tcPr>
            <w:tcW w:type="dxa" w:w="1728"/>
          </w:tcPr>
          <w:p>
            <w:r>
              <w:rPr>
                <w:rFonts w:ascii="Times New Roman" w:hAnsi="Times New Roman"/>
                <w:sz w:val="22"/>
              </w:rPr>
              <w:t>67.94%</w:t>
            </w:r>
          </w:p>
        </w:tc>
        <w:tc>
          <w:tcPr>
            <w:tcW w:type="dxa" w:w="1728"/>
          </w:tcPr>
          <w:p>
            <w:r>
              <w:rPr>
                <w:rFonts w:ascii="Times New Roman" w:hAnsi="Times New Roman"/>
                <w:sz w:val="22"/>
              </w:rPr>
              <w:t>69.08%</w:t>
            </w:r>
          </w:p>
        </w:tc>
        <w:tc>
          <w:tcPr>
            <w:tcW w:type="dxa" w:w="1728"/>
          </w:tcPr>
          <w:p>
            <w:r>
              <w:rPr>
                <w:rFonts w:ascii="Times New Roman" w:hAnsi="Times New Roman"/>
                <w:sz w:val="22"/>
              </w:rPr>
              <w:t>2,606</w:t>
            </w:r>
          </w:p>
        </w:tc>
      </w:tr>
      <w:tr>
        <w:tc>
          <w:tcPr>
            <w:tcW w:type="dxa" w:w="1728"/>
          </w:tcPr>
          <w:p>
            <w:r>
              <w:rPr>
                <w:rFonts w:ascii="Times New Roman" w:hAnsi="Times New Roman"/>
                <w:sz w:val="22"/>
              </w:rPr>
              <w:t>Weighted average</w:t>
            </w:r>
          </w:p>
        </w:tc>
        <w:tc>
          <w:tcPr>
            <w:tcW w:type="dxa" w:w="1728"/>
          </w:tcPr>
          <w:p>
            <w:r>
              <w:rPr>
                <w:rFonts w:ascii="Times New Roman" w:hAnsi="Times New Roman"/>
                <w:sz w:val="22"/>
              </w:rPr>
              <w:t>74.57%</w:t>
            </w:r>
          </w:p>
        </w:tc>
        <w:tc>
          <w:tcPr>
            <w:tcW w:type="dxa" w:w="1728"/>
          </w:tcPr>
          <w:p>
            <w:r>
              <w:rPr>
                <w:rFonts w:ascii="Times New Roman" w:hAnsi="Times New Roman"/>
                <w:sz w:val="22"/>
              </w:rPr>
              <w:t>75.75%</w:t>
            </w:r>
          </w:p>
        </w:tc>
        <w:tc>
          <w:tcPr>
            <w:tcW w:type="dxa" w:w="1728"/>
          </w:tcPr>
          <w:p>
            <w:r>
              <w:rPr>
                <w:rFonts w:ascii="Times New Roman" w:hAnsi="Times New Roman"/>
                <w:sz w:val="22"/>
              </w:rPr>
              <w:t>74.60%</w:t>
            </w:r>
          </w:p>
        </w:tc>
        <w:tc>
          <w:tcPr>
            <w:tcW w:type="dxa" w:w="1728"/>
          </w:tcPr>
          <w:p>
            <w:r>
              <w:rPr>
                <w:rFonts w:ascii="Times New Roman" w:hAnsi="Times New Roman"/>
                <w:sz w:val="22"/>
              </w:rPr>
              <w:t>2,606</w:t>
            </w:r>
          </w:p>
        </w:tc>
      </w:tr>
    </w:tbl>
    <w:p/>
    <w:p>
      <w:r>
        <w:rPr>
          <w:rFonts w:ascii="Times New Roman" w:hAnsi="Times New Roman"/>
          <w:sz w:val="24"/>
        </w:rPr>
        <w:t>Table F.6.5. Sputum AFB Binary Classifier — Per-Class Test Metrics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2"/>
              </w:rPr>
              <w:t>Class</w:t>
            </w:r>
          </w:p>
        </w:tc>
        <w:tc>
          <w:tcPr>
            <w:tcW w:type="dxa" w:w="1728"/>
          </w:tcPr>
          <w:p>
            <w:r>
              <w:rPr>
                <w:rFonts w:ascii="Times New Roman" w:hAnsi="Times New Roman"/>
                <w:b/>
                <w:sz w:val="22"/>
              </w:rPr>
              <w:t>Precision</w:t>
            </w:r>
          </w:p>
        </w:tc>
        <w:tc>
          <w:tcPr>
            <w:tcW w:type="dxa" w:w="1728"/>
          </w:tcPr>
          <w:p>
            <w:r>
              <w:rPr>
                <w:rFonts w:ascii="Times New Roman" w:hAnsi="Times New Roman"/>
                <w:b/>
                <w:sz w:val="22"/>
              </w:rPr>
              <w:t>Recall</w:t>
            </w:r>
          </w:p>
        </w:tc>
        <w:tc>
          <w:tcPr>
            <w:tcW w:type="dxa" w:w="1728"/>
          </w:tcPr>
          <w:p>
            <w:r>
              <w:rPr>
                <w:rFonts w:ascii="Times New Roman" w:hAnsi="Times New Roman"/>
                <w:b/>
                <w:sz w:val="22"/>
              </w:rPr>
              <w:t>F1-Score</w:t>
            </w:r>
          </w:p>
        </w:tc>
        <w:tc>
          <w:tcPr>
            <w:tcW w:type="dxa" w:w="1728"/>
          </w:tcPr>
          <w:p>
            <w:r>
              <w:rPr>
                <w:rFonts w:ascii="Times New Roman" w:hAnsi="Times New Roman"/>
                <w:b/>
                <w:sz w:val="22"/>
              </w:rPr>
              <w:t>Support</w:t>
            </w:r>
          </w:p>
        </w:tc>
      </w:tr>
      <w:tr>
        <w:tc>
          <w:tcPr>
            <w:tcW w:type="dxa" w:w="1728"/>
          </w:tcPr>
          <w:p>
            <w:r>
              <w:rPr>
                <w:rFonts w:ascii="Times New Roman" w:hAnsi="Times New Roman"/>
                <w:sz w:val="22"/>
              </w:rPr>
              <w:t>AFB-negative</w:t>
            </w:r>
          </w:p>
        </w:tc>
        <w:tc>
          <w:tcPr>
            <w:tcW w:type="dxa" w:w="1728"/>
          </w:tcPr>
          <w:p>
            <w:r>
              <w:rPr>
                <w:rFonts w:ascii="Times New Roman" w:hAnsi="Times New Roman"/>
                <w:sz w:val="22"/>
              </w:rPr>
              <w:t>27.27%</w:t>
            </w:r>
          </w:p>
        </w:tc>
        <w:tc>
          <w:tcPr>
            <w:tcW w:type="dxa" w:w="1728"/>
          </w:tcPr>
          <w:p>
            <w:r>
              <w:rPr>
                <w:rFonts w:ascii="Times New Roman" w:hAnsi="Times New Roman"/>
                <w:sz w:val="22"/>
              </w:rPr>
              <w:t>50.00%</w:t>
            </w:r>
          </w:p>
        </w:tc>
        <w:tc>
          <w:tcPr>
            <w:tcW w:type="dxa" w:w="1728"/>
          </w:tcPr>
          <w:p>
            <w:r>
              <w:rPr>
                <w:rFonts w:ascii="Times New Roman" w:hAnsi="Times New Roman"/>
                <w:sz w:val="22"/>
              </w:rPr>
              <w:t>35.29%</w:t>
            </w:r>
          </w:p>
        </w:tc>
        <w:tc>
          <w:tcPr>
            <w:tcW w:type="dxa" w:w="1728"/>
          </w:tcPr>
          <w:p>
            <w:r>
              <w:rPr>
                <w:rFonts w:ascii="Times New Roman" w:hAnsi="Times New Roman"/>
                <w:sz w:val="22"/>
              </w:rPr>
              <w:t>6</w:t>
            </w:r>
          </w:p>
        </w:tc>
      </w:tr>
      <w:tr>
        <w:tc>
          <w:tcPr>
            <w:tcW w:type="dxa" w:w="1728"/>
          </w:tcPr>
          <w:p>
            <w:r>
              <w:rPr>
                <w:rFonts w:ascii="Times New Roman" w:hAnsi="Times New Roman"/>
                <w:sz w:val="22"/>
              </w:rPr>
              <w:t>AFB-positive</w:t>
            </w:r>
          </w:p>
        </w:tc>
        <w:tc>
          <w:tcPr>
            <w:tcW w:type="dxa" w:w="1728"/>
          </w:tcPr>
          <w:p>
            <w:r>
              <w:rPr>
                <w:rFonts w:ascii="Times New Roman" w:hAnsi="Times New Roman"/>
                <w:sz w:val="22"/>
              </w:rPr>
              <w:t>98.54%</w:t>
            </w:r>
          </w:p>
        </w:tc>
        <w:tc>
          <w:tcPr>
            <w:tcW w:type="dxa" w:w="1728"/>
          </w:tcPr>
          <w:p>
            <w:r>
              <w:rPr>
                <w:rFonts w:ascii="Times New Roman" w:hAnsi="Times New Roman"/>
                <w:sz w:val="22"/>
              </w:rPr>
              <w:t>96.19%</w:t>
            </w:r>
          </w:p>
        </w:tc>
        <w:tc>
          <w:tcPr>
            <w:tcW w:type="dxa" w:w="1728"/>
          </w:tcPr>
          <w:p>
            <w:r>
              <w:rPr>
                <w:rFonts w:ascii="Times New Roman" w:hAnsi="Times New Roman"/>
                <w:sz w:val="22"/>
              </w:rPr>
              <w:t>97.11%</w:t>
            </w:r>
          </w:p>
        </w:tc>
        <w:tc>
          <w:tcPr>
            <w:tcW w:type="dxa" w:w="1728"/>
          </w:tcPr>
          <w:p>
            <w:r>
              <w:rPr>
                <w:rFonts w:ascii="Times New Roman" w:hAnsi="Times New Roman"/>
                <w:sz w:val="22"/>
              </w:rPr>
              <w:t>210</w:t>
            </w:r>
          </w:p>
        </w:tc>
      </w:tr>
      <w:tr>
        <w:tc>
          <w:tcPr>
            <w:tcW w:type="dxa" w:w="1728"/>
          </w:tcPr>
          <w:p>
            <w:r>
              <w:rPr>
                <w:rFonts w:ascii="Times New Roman" w:hAnsi="Times New Roman"/>
                <w:sz w:val="22"/>
              </w:rPr>
              <w:t>Macro average</w:t>
            </w:r>
          </w:p>
        </w:tc>
        <w:tc>
          <w:tcPr>
            <w:tcW w:type="dxa" w:w="1728"/>
          </w:tcPr>
          <w:p>
            <w:r>
              <w:rPr>
                <w:rFonts w:ascii="Times New Roman" w:hAnsi="Times New Roman"/>
                <w:sz w:val="22"/>
              </w:rPr>
              <w:t>62.91%</w:t>
            </w:r>
          </w:p>
        </w:tc>
        <w:tc>
          <w:tcPr>
            <w:tcW w:type="dxa" w:w="1728"/>
          </w:tcPr>
          <w:p>
            <w:r>
              <w:rPr>
                <w:rFonts w:ascii="Times New Roman" w:hAnsi="Times New Roman"/>
                <w:sz w:val="22"/>
              </w:rPr>
              <w:t>73.10%</w:t>
            </w:r>
          </w:p>
        </w:tc>
        <w:tc>
          <w:tcPr>
            <w:tcW w:type="dxa" w:w="1728"/>
          </w:tcPr>
          <w:p>
            <w:r>
              <w:rPr>
                <w:rFonts w:ascii="Times New Roman" w:hAnsi="Times New Roman"/>
                <w:sz w:val="22"/>
              </w:rPr>
              <w:t>66.32%</w:t>
            </w:r>
          </w:p>
        </w:tc>
        <w:tc>
          <w:tcPr>
            <w:tcW w:type="dxa" w:w="1728"/>
          </w:tcPr>
          <w:p>
            <w:r>
              <w:rPr>
                <w:rFonts w:ascii="Times New Roman" w:hAnsi="Times New Roman"/>
                <w:sz w:val="22"/>
              </w:rPr>
              <w:t>216</w:t>
            </w:r>
          </w:p>
        </w:tc>
      </w:tr>
      <w:tr>
        <w:tc>
          <w:tcPr>
            <w:tcW w:type="dxa" w:w="1728"/>
          </w:tcPr>
          <w:p>
            <w:r>
              <w:rPr>
                <w:rFonts w:ascii="Times New Roman" w:hAnsi="Times New Roman"/>
                <w:sz w:val="22"/>
              </w:rPr>
              <w:t>Weighted average</w:t>
            </w:r>
          </w:p>
        </w:tc>
        <w:tc>
          <w:tcPr>
            <w:tcW w:type="dxa" w:w="1728"/>
          </w:tcPr>
          <w:p>
            <w:r>
              <w:rPr>
                <w:rFonts w:ascii="Times New Roman" w:hAnsi="Times New Roman"/>
                <w:sz w:val="22"/>
              </w:rPr>
              <w:t>96.85%</w:t>
            </w:r>
          </w:p>
        </w:tc>
        <w:tc>
          <w:tcPr>
            <w:tcW w:type="dxa" w:w="1728"/>
          </w:tcPr>
          <w:p>
            <w:r>
              <w:rPr>
                <w:rFonts w:ascii="Times New Roman" w:hAnsi="Times New Roman"/>
                <w:sz w:val="22"/>
              </w:rPr>
              <w:t>94.91%</w:t>
            </w:r>
          </w:p>
        </w:tc>
        <w:tc>
          <w:tcPr>
            <w:tcW w:type="dxa" w:w="1728"/>
          </w:tcPr>
          <w:p>
            <w:r>
              <w:rPr>
                <w:rFonts w:ascii="Times New Roman" w:hAnsi="Times New Roman"/>
                <w:sz w:val="22"/>
              </w:rPr>
              <w:t>95.85%</w:t>
            </w:r>
          </w:p>
        </w:tc>
        <w:tc>
          <w:tcPr>
            <w:tcW w:type="dxa" w:w="1728"/>
          </w:tcPr>
          <w:p>
            <w:r>
              <w:rPr>
                <w:rFonts w:ascii="Times New Roman" w:hAnsi="Times New Roman"/>
                <w:sz w:val="22"/>
              </w:rPr>
              <w:t>216</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