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5. AI/ML Validation Metrics</w:t>
      </w:r>
    </w:p>
    <w:p>
      <w:r>
        <w:t>This section summarizes held-out test performance of the TBhon machine learning classifiers. Metrics were computed on data excluded from training and validation tuning. Macro-averaged precision, recall, and F1 treat both classes equally.</w:t>
      </w:r>
    </w:p>
    <w:p>
      <w:r>
        <w:rPr>
          <w:b/>
          <w:sz w:val="24"/>
        </w:rPr>
        <w:t>Model Performance Metrics — Hybrid Cough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Accuracy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75.7%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71.7%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Recall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67.9%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69.1%</w:t>
            </w:r>
          </w:p>
        </w:tc>
      </w:tr>
    </w:tbl>
    <w:p/>
    <w:p>
      <w:r>
        <w:t>These metrics indicate that the hybrid cough classifier demonstrates measurable tuberculosis-related discrimination on the held-out audio test partition (n = 2,606). Performance may degrade under low signal-to-noise conditions, conversational interference, and non-cough audio submissions; pre-inference quality filtering and domain augmentations were applied to mitigate these effects.</w:t>
      </w:r>
    </w:p>
    <w:p>
      <w:r>
        <w:rPr>
          <w:b/>
        </w:rPr>
        <w:t>Confusion Matrix — Hybrid Cough Classifier</w:t>
      </w:r>
    </w:p>
    <w:p>
      <w:r>
        <w:drawing>
          <wp:inline xmlns:a="http://schemas.openxmlformats.org/drawingml/2006/main" xmlns:pic="http://schemas.openxmlformats.org/drawingml/2006/picture">
            <wp:extent cx="292608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Confusion matrix for the hybrid cough classifier on the held-out test set.</w:t>
      </w:r>
    </w:p>
    <w:p>
      <w:r>
        <w:rPr>
          <w:b/>
          <w:sz w:val="24"/>
        </w:rPr>
        <w:t>Model Performance Metrics — Sputum AFB Binary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Accuracy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94.9%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63.0%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Recall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73.0%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66.3%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Sensitivity (AFB+)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96.2%</w:t>
            </w:r>
          </w:p>
        </w:tc>
      </w:tr>
      <w:tr>
        <w:tc>
          <w:tcPr>
            <w:tcW w:type="dxa" w:w="4320"/>
          </w:tcPr>
          <w:p>
            <w:r>
              <w:t>Specificity (AFB-)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Decision threshold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0.63</w:t>
            </w:r>
          </w:p>
        </w:tc>
      </w:tr>
    </w:tbl>
    <w:p/>
    <w:p>
      <w:r>
        <w:t>The sputum classifier uses a stratified held-out test partition with roughly six AFB-negative and two hundred ten AFB-positive examples after in-memory class-balanced splitting. The positive-class decision threshold was tuned on validation under a ≥95% AFB+ sensitivity constraint (policy: max_specificity_min_sensitivity), prioritizing specificity among feasible thresholds rather than macro-F1 alone. Macro-F1 and the confusion matrix below should be interpreted alongside sensitivity and specificity; specificity remains a noisy estimate until more field-collected negative smears are available.</w:t>
      </w:r>
    </w:p>
    <w:p>
      <w:r>
        <w:rPr>
          <w:b/>
        </w:rPr>
        <w:t>Confusion Matrix — Sputum AFB Binary Classifier</w:t>
      </w:r>
    </w:p>
    <w:p>
      <w:r>
        <w:drawing>
          <wp:inline xmlns:a="http://schemas.openxmlformats.org/drawingml/2006/main" xmlns:pic="http://schemas.openxmlformats.org/drawingml/2006/picture">
            <wp:extent cx="2926080" cy="260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um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Confusion matrix for the sputum AFB binary classifier on the held-out test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