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VI</w:t>
      </w:r>
    </w:p>
    <w:p>
      <w:pPr>
        <w:pStyle w:val="Heading1"/>
      </w:pPr>
      <w:r>
        <w:t>TESTING, EVALUATION, AND RESULTS</w:t>
      </w:r>
    </w:p>
    <w:p>
      <w:r>
        <w:rPr>
          <w:rFonts w:ascii="Times New Roman" w:hAnsi="Times New Roman"/>
          <w:sz w:val="24"/>
        </w:rPr>
        <w:t>The following chapter presents the results and analysis of the study's objectives. This section contains the performance metrics of the machine learning models, classification response time observations, end-to-end application testing results, ISO/IEC 25010 software quality evaluation, and user acceptance testing outcomes for the proposed TBhon system. The integrated hybrid cough classifier and sputum AFB binary classifier are evaluated using standard classification metrics. The mobile application with the integrated models is further demonstrated through functional test cases, device specifications, and professional user acceptance testing conducted using TBhon version 1.2 (Prototype / Field Evaluation Build). Further conclusions and recommendations are discussed in Chapter VII.</w:t>
      </w:r>
    </w:p>
    <w:p>
      <w:pPr>
        <w:pStyle w:val="Heading2"/>
      </w:pPr>
      <w:r>
        <w:t>6.1 Achievement of Objectives</w:t>
      </w:r>
    </w:p>
    <w:p>
      <w:r>
        <w:rPr>
          <w:rFonts w:ascii="Times New Roman" w:hAnsi="Times New Roman"/>
          <w:sz w:val="24"/>
        </w:rPr>
        <w:t>This section provides a detailed account of how the research objectives stated in Section 1.3 were accomplished by outlining the specific methods, implementations, and evaluation approaches employed to achieve the desired outcomes.</w:t>
      </w:r>
    </w:p>
    <w:p>
      <w:pPr>
        <w:pStyle w:val="Heading3"/>
      </w:pPr>
      <w:r>
        <w:t>6.1.1 First Objective — IoT Acquisition Hardware</w:t>
      </w:r>
    </w:p>
    <w:p>
      <w:r>
        <w:rPr>
          <w:rFonts w:ascii="Times New Roman" w:hAnsi="Times New Roman"/>
          <w:sz w:val="24"/>
        </w:rPr>
        <w:t>The first specific objective of the study was to develop the IoT acquisition hardware, including the design of an ESP32-based module for respiratory audio capture and an integrated ESP32–OV5640 microscopic imaging module for sputum smear capture. To achieve this objective, the researchers designed and implemented an ESP32-based IoT screening module capable of supporting cough audio capture and sputum image acquisition within the TBhon screening workflow. The device communicates with the TBhon backend through authenticated REST API endpoints, including /iot/health, /iot/cough-recordings, and /iot/sputum-images, using an IoT API key for secure device authentication. The mobile application was integrated with an IoT hardware checklist, service health verification, and Bluetooth Low Energy (BLE) Wi-Fi provisioning support through react-native-ble-plx. Structured screening sessions support three cough attempts and one sputum sample capture through the IoT-assisted workflow. Bench testing verified device-triggered media upload and backend session linkage. Full in-app BLE Wi-Fi provisioning requires a native deployment build. This objective was substantially achieved, with functional IoT upload and capture verified during development and testing.</w:t>
      </w:r>
    </w:p>
    <w:p>
      <w:pPr>
        <w:jc w:val="center"/>
      </w:pPr>
      <w:r>
        <w:drawing>
          <wp:inline xmlns:a="http://schemas.openxmlformats.org/drawingml/2006/main" xmlns:pic="http://schemas.openxmlformats.org/drawingml/2006/picture">
            <wp:extent cx="5029200" cy="6162300"/>
            <wp:docPr id="1" name="Picture 1"/>
            <wp:cNvGraphicFramePr>
              <a:graphicFrameLocks noChangeAspect="1"/>
            </wp:cNvGraphicFramePr>
            <a:graphic>
              <a:graphicData uri="http://schemas.openxmlformats.org/drawingml/2006/picture">
                <pic:pic>
                  <pic:nvPicPr>
                    <pic:cNvPr id="0" name="figure_6_1_1_esp32_iot_integration_workflow.png"/>
                    <pic:cNvPicPr/>
                  </pic:nvPicPr>
                  <pic:blipFill>
                    <a:blip r:embed="rId9"/>
                    <a:stretch>
                      <a:fillRect/>
                    </a:stretch>
                  </pic:blipFill>
                  <pic:spPr>
                    <a:xfrm>
                      <a:off x="0" y="0"/>
                      <a:ext cx="5029200" cy="6162300"/>
                    </a:xfrm>
                    <a:prstGeom prst="rect"/>
                  </pic:spPr>
                </pic:pic>
              </a:graphicData>
            </a:graphic>
          </wp:inline>
        </w:drawing>
      </w:r>
    </w:p>
    <w:p>
      <w:pPr>
        <w:jc w:val="center"/>
      </w:pPr>
      <w:r>
        <w:rPr>
          <w:rFonts w:ascii="Times New Roman" w:hAnsi="Times New Roman"/>
          <w:b/>
          <w:sz w:val="24"/>
        </w:rPr>
        <w:t>Figure 6.1.1. ESP32 IoT Device Integration Workflow</w:t>
      </w:r>
    </w:p>
    <w:p>
      <w:pPr>
        <w:pStyle w:val="Heading3"/>
      </w:pPr>
      <w:r>
        <w:t>6.1.2 Second Objective — Data Curation and Preprocessing</w:t>
      </w:r>
    </w:p>
    <w:p>
      <w:r>
        <w:rPr>
          <w:rFonts w:ascii="Times New Roman" w:hAnsi="Times New Roman"/>
          <w:sz w:val="24"/>
        </w:rPr>
        <w:t>The second specific objective was to curate and preprocess data by utilizing publicly available tuberculosis datasets and applying signal processing and image feature extraction techniques to ensure model robustness and consistency. The researchers utilized the Kaggle TB cough audio dataset and a YOLO-formatted sputum smear microscopy dataset. Cough audio samples were resampled to 16 kHz, clipped or padded to a fixed duration, and converted into log-Mel spectrogram representations. Additional hand-crafted acoustic features—including MFCC, delta and delta-delta coefficients, mel statistics, RMS, and zero-crossing rate—were extracted for the gradient boosting component. Sputum smear images were annotated with bounding boxes around individual acid-fast bacilli (class 0), counted per image, and converted into binary AFB labels. Image preprocessing included resizing to 224×224 pixels, ImageNet normalization, and data augmentation. The curated datasets were partitioned into training, validation, and test subsets. This objective was achieved.</w:t>
      </w:r>
    </w:p>
    <w:p>
      <w:pPr>
        <w:jc w:val="center"/>
      </w:pPr>
      <w:r>
        <w:drawing>
          <wp:inline xmlns:a="http://schemas.openxmlformats.org/drawingml/2006/main" xmlns:pic="http://schemas.openxmlformats.org/drawingml/2006/picture">
            <wp:extent cx="5029200" cy="3261768"/>
            <wp:docPr id="2" name="Picture 2"/>
            <wp:cNvGraphicFramePr>
              <a:graphicFrameLocks noChangeAspect="1"/>
            </wp:cNvGraphicFramePr>
            <a:graphic>
              <a:graphicData uri="http://schemas.openxmlformats.org/drawingml/2006/picture">
                <pic:pic>
                  <pic:nvPicPr>
                    <pic:cNvPr id="0" name="figure_5_3_sputum_annotation_workflow.png"/>
                    <pic:cNvPicPr/>
                  </pic:nvPicPr>
                  <pic:blipFill>
                    <a:blip r:embed="rId10"/>
                    <a:stretch>
                      <a:fillRect/>
                    </a:stretch>
                  </pic:blipFill>
                  <pic:spPr>
                    <a:xfrm>
                      <a:off x="0" y="0"/>
                      <a:ext cx="5029200" cy="3261768"/>
                    </a:xfrm>
                    <a:prstGeom prst="rect"/>
                  </pic:spPr>
                </pic:pic>
              </a:graphicData>
            </a:graphic>
          </wp:inline>
        </w:drawing>
      </w:r>
    </w:p>
    <w:p>
      <w:pPr>
        <w:jc w:val="center"/>
      </w:pPr>
      <w:r>
        <w:rPr>
          <w:rFonts w:ascii="Times New Roman" w:hAnsi="Times New Roman"/>
          <w:b/>
          <w:sz w:val="24"/>
        </w:rPr>
        <w:t>Figure 6.1.2. Sputum Dataset Annotation and AFB Labeling Workflow</w:t>
      </w:r>
    </w:p>
    <w:p>
      <w:pPr>
        <w:pStyle w:val="Heading3"/>
      </w:pPr>
      <w:r>
        <w:t>6.1.3 Third Objective — Machine Learning Model Development</w:t>
      </w:r>
    </w:p>
    <w:p>
      <w:r>
        <w:rPr>
          <w:rFonts w:ascii="Times New Roman" w:hAnsi="Times New Roman"/>
          <w:sz w:val="24"/>
        </w:rPr>
        <w:t>The third specific objective was to develop and optimize machine learning models using Convolutional Neural Networks (CNNs) to classify TB-related patterns in respiratory audio via Mel-spectrograms and to identify visual indicators in Ziehl–Neelsen stained sputum smears. For cough audio, the researchers implemented a hybrid Mel-spectrogram CNN + Gradient Boosting Machine (GBM) classifier with a weighted probability blend and calibrated decision threshold. The CNN branch was trained for eight (8) epochs on fold 1, after which GBM features were extracted and fused at inference. For sputum analysis, a ResNet18 binary CNN classifier was trained for thirty (30) epochs to distinguish AFB-positive from AFB-negative smear images, with a validation-tuned decision threshold under a minimum sensitivity constraint for AFB-positive detection. Training metrics compilations—including train loss, validation accuracy, validation F1, and class-wise validation F1 for cough, and train loss with validation accuracy and macro F1 for sputum—are presented in Figures 6.1.3.1–6.1.3.2 and discussed in Sections 6.2 and 6.3. Both models were deployed through a FastAPI inference service exposing /check-quality, /predict, and /predict-phlegm endpoints. This objective was achieved, with detailed test-set performance metrics presented in Sections 6.2 and 6.3.</w:t>
      </w:r>
    </w:p>
    <w:p>
      <w:pPr>
        <w:jc w:val="center"/>
      </w:pPr>
      <w:r>
        <w:drawing>
          <wp:inline xmlns:a="http://schemas.openxmlformats.org/drawingml/2006/main" xmlns:pic="http://schemas.openxmlformats.org/drawingml/2006/picture">
            <wp:extent cx="5029200" cy="3123175"/>
            <wp:docPr id="3" name="Picture 3"/>
            <wp:cNvGraphicFramePr>
              <a:graphicFrameLocks noChangeAspect="1"/>
            </wp:cNvGraphicFramePr>
            <a:graphic>
              <a:graphicData uri="http://schemas.openxmlformats.org/drawingml/2006/picture">
                <pic:pic>
                  <pic:nvPicPr>
                    <pic:cNvPr id="0" name="cough_metrics_compilation_8_epochs.png"/>
                    <pic:cNvPicPr/>
                  </pic:nvPicPr>
                  <pic:blipFill>
                    <a:blip r:embed="rId11"/>
                    <a:stretch>
                      <a:fillRect/>
                    </a:stretch>
                  </pic:blipFill>
                  <pic:spPr>
                    <a:xfrm>
                      <a:off x="0" y="0"/>
                      <a:ext cx="5029200" cy="3123175"/>
                    </a:xfrm>
                    <a:prstGeom prst="rect"/>
                  </pic:spPr>
                </pic:pic>
              </a:graphicData>
            </a:graphic>
          </wp:inline>
        </w:drawing>
      </w:r>
    </w:p>
    <w:p>
      <w:pPr>
        <w:jc w:val="center"/>
      </w:pPr>
      <w:r>
        <w:rPr>
          <w:rFonts w:ascii="Times New Roman" w:hAnsi="Times New Roman"/>
          <w:b/>
          <w:sz w:val="24"/>
        </w:rPr>
        <w:t>Figure 6.1.3.1. Hybrid Cough CNN Metrics Compilation at 8 Epochs</w:t>
      </w:r>
    </w:p>
    <w:p>
      <w:pPr>
        <w:pStyle w:val="Heading3"/>
      </w:pPr>
      <w:r>
        <w:t>6.1.3 (continued) Sputum Training Metrics</w:t>
      </w:r>
    </w:p>
    <w:p>
      <w:r>
        <w:rPr>
          <w:rFonts w:ascii="Times New Roman" w:hAnsi="Times New Roman"/>
          <w:sz w:val="24"/>
        </w:rPr>
        <w:t>The sputum AFB binary classifier exhibited decreasing training loss and improving validation macro F1 during the thirty-epoch ResNet18 training run (production run phlegm_afb_binary_20260531_133949). The metrics compilation summarizes validation accuracy and macro F1 across all training epochs.</w:t>
      </w:r>
    </w:p>
    <w:p>
      <w:pPr>
        <w:jc w:val="center"/>
      </w:pPr>
      <w:r>
        <w:drawing>
          <wp:inline xmlns:a="http://schemas.openxmlformats.org/drawingml/2006/main" xmlns:pic="http://schemas.openxmlformats.org/drawingml/2006/picture">
            <wp:extent cx="5029200" cy="1572153"/>
            <wp:docPr id="4" name="Picture 4"/>
            <wp:cNvGraphicFramePr>
              <a:graphicFrameLocks noChangeAspect="1"/>
            </wp:cNvGraphicFramePr>
            <a:graphic>
              <a:graphicData uri="http://schemas.openxmlformats.org/drawingml/2006/picture">
                <pic:pic>
                  <pic:nvPicPr>
                    <pic:cNvPr id="0" name="sputum_metrics_compilation_30_epochs.png"/>
                    <pic:cNvPicPr/>
                  </pic:nvPicPr>
                  <pic:blipFill>
                    <a:blip r:embed="rId12"/>
                    <a:stretch>
                      <a:fillRect/>
                    </a:stretch>
                  </pic:blipFill>
                  <pic:spPr>
                    <a:xfrm>
                      <a:off x="0" y="0"/>
                      <a:ext cx="5029200" cy="1572153"/>
                    </a:xfrm>
                    <a:prstGeom prst="rect"/>
                  </pic:spPr>
                </pic:pic>
              </a:graphicData>
            </a:graphic>
          </wp:inline>
        </w:drawing>
      </w:r>
    </w:p>
    <w:p>
      <w:pPr>
        <w:jc w:val="center"/>
      </w:pPr>
      <w:r>
        <w:rPr>
          <w:rFonts w:ascii="Times New Roman" w:hAnsi="Times New Roman"/>
          <w:b/>
          <w:sz w:val="24"/>
        </w:rPr>
        <w:t>Figure 6.1.3.2. Sputum ResNet18 Binary Classifier Metrics Compilation at 30 Epochs</w:t>
      </w:r>
    </w:p>
    <w:p>
      <w:pPr>
        <w:pStyle w:val="Heading3"/>
      </w:pPr>
      <w:r>
        <w:t>6.1.3 (continued) Hybrid Architecture and Test Confusion Matrix</w:t>
      </w:r>
    </w:p>
    <w:p>
      <w:r>
        <w:rPr>
          <w:rFonts w:ascii="Times New Roman" w:hAnsi="Times New Roman"/>
          <w:sz w:val="24"/>
        </w:rPr>
        <w:t>The hybrid cough classifier combines CNN Mel-spectrogram embeddings with gradient-boosted acoustic features. Final held-out test performance is summarized alongside the architecture in the figure below.</w:t>
      </w:r>
    </w:p>
    <w:p>
      <w:pPr>
        <w:jc w:val="center"/>
      </w:pPr>
      <w:r>
        <w:drawing>
          <wp:inline xmlns:a="http://schemas.openxmlformats.org/drawingml/2006/main" xmlns:pic="http://schemas.openxmlformats.org/drawingml/2006/picture">
            <wp:extent cx="5029200" cy="3869503"/>
            <wp:docPr id="5" name="Picture 5"/>
            <wp:cNvGraphicFramePr>
              <a:graphicFrameLocks noChangeAspect="1"/>
            </wp:cNvGraphicFramePr>
            <a:graphic>
              <a:graphicData uri="http://schemas.openxmlformats.org/drawingml/2006/picture">
                <pic:pic>
                  <pic:nvPicPr>
                    <pic:cNvPr id="0" name="figure_5_4_cough_architecture_and_confusion_matrix.png"/>
                    <pic:cNvPicPr/>
                  </pic:nvPicPr>
                  <pic:blipFill>
                    <a:blip r:embed="rId13"/>
                    <a:stretch>
                      <a:fillRect/>
                    </a:stretch>
                  </pic:blipFill>
                  <pic:spPr>
                    <a:xfrm>
                      <a:off x="0" y="0"/>
                      <a:ext cx="5029200" cy="3869503"/>
                    </a:xfrm>
                    <a:prstGeom prst="rect"/>
                  </pic:spPr>
                </pic:pic>
              </a:graphicData>
            </a:graphic>
          </wp:inline>
        </w:drawing>
      </w:r>
    </w:p>
    <w:p>
      <w:pPr>
        <w:jc w:val="center"/>
      </w:pPr>
      <w:r>
        <w:rPr>
          <w:rFonts w:ascii="Times New Roman" w:hAnsi="Times New Roman"/>
          <w:b/>
          <w:sz w:val="24"/>
        </w:rPr>
        <w:t>Figure 6.1.3.3. Hybrid CNN + GBM Cough Classification Architecture and Confusion Matrix</w:t>
      </w:r>
    </w:p>
    <w:p>
      <w:pPr>
        <w:pStyle w:val="Heading3"/>
      </w:pPr>
      <w:r>
        <w:t>6.1.4 Fourth Objective — Multimodal Risk Scoring System</w:t>
      </w:r>
    </w:p>
    <w:p>
      <w:r>
        <w:rPr>
          <w:rFonts w:ascii="Times New Roman" w:hAnsi="Times New Roman"/>
          <w:sz w:val="24"/>
        </w:rPr>
        <w:t>The fourth specific objective was to implement an integrated multi-modal risk scoring system that fuses acoustic and visual classification outputs to generate real-time risk stratification levels. The researchers implemented a multimodal risk fusion module combining an 11-item symptom checklist, mean cough ML tuberculosis probability across quality-validated clips, and sputum ML probability mapped from binary AFB classifier outputs. Fusion is performed through weighted log-odds combination (checklist: 0.85, cough: 1.0, sputum: 0.7), followed by clinical safety floors for high-concern symptoms and confident AFB-positive findings. The fused output produces prob_tb and a triage risk level of Low (&lt; 0.38), Moderate (0.38–0.62), or High (≥ 0.62). This objective was achieved.</w:t>
      </w:r>
    </w:p>
    <w:p>
      <w:pPr>
        <w:jc w:val="center"/>
      </w:pPr>
      <w:r>
        <w:drawing>
          <wp:inline xmlns:a="http://schemas.openxmlformats.org/drawingml/2006/main" xmlns:pic="http://schemas.openxmlformats.org/drawingml/2006/picture">
            <wp:extent cx="5029200" cy="5729128"/>
            <wp:docPr id="6" name="Picture 6"/>
            <wp:cNvGraphicFramePr>
              <a:graphicFrameLocks noChangeAspect="1"/>
            </wp:cNvGraphicFramePr>
            <a:graphic>
              <a:graphicData uri="http://schemas.openxmlformats.org/drawingml/2006/picture">
                <pic:pic>
                  <pic:nvPicPr>
                    <pic:cNvPr id="0" name="figure_6_1_4_multimodal_risk_fusion_workflow.png"/>
                    <pic:cNvPicPr/>
                  </pic:nvPicPr>
                  <pic:blipFill>
                    <a:blip r:embed="rId14"/>
                    <a:stretch>
                      <a:fillRect/>
                    </a:stretch>
                  </pic:blipFill>
                  <pic:spPr>
                    <a:xfrm>
                      <a:off x="0" y="0"/>
                      <a:ext cx="5029200" cy="5729128"/>
                    </a:xfrm>
                    <a:prstGeom prst="rect"/>
                  </pic:spPr>
                </pic:pic>
              </a:graphicData>
            </a:graphic>
          </wp:inline>
        </w:drawing>
      </w:r>
    </w:p>
    <w:p>
      <w:pPr>
        <w:jc w:val="center"/>
      </w:pPr>
      <w:r>
        <w:rPr>
          <w:rFonts w:ascii="Times New Roman" w:hAnsi="Times New Roman"/>
          <w:b/>
          <w:sz w:val="24"/>
        </w:rPr>
        <w:t>Figure 6.1.4. Multimodal Risk Fusion Workflow</w:t>
      </w:r>
    </w:p>
    <w:p>
      <w:pPr>
        <w:pStyle w:val="Heading3"/>
      </w:pPr>
      <w:r>
        <w:t>6.1.5 Fifth Objective — Communication Architecture</w:t>
      </w:r>
    </w:p>
    <w:p>
      <w:r>
        <w:rPr>
          <w:rFonts w:ascii="Times New Roman" w:hAnsi="Times New Roman"/>
          <w:sz w:val="24"/>
        </w:rPr>
        <w:t>The fifth specific objective was to establish a robust communication architecture facilitating seamless, real-time wireless data transmission between embedded acquisition modules, edge-processing nodes, and the backend diagnostic server. The researchers deployed two DigitalOcean cloud droplets: a backend droplet hosting Node.js/Express (PM2, port 4000) and an ML droplet hosting Python/FastAPI (systemd, port 8000), both exposed through Cloudflare HTTPS tunnels. The mobile application uses EXPO_PUBLIC_API_URL for auth, sessions, and media persistence, and EXPO_PUBLIC_TB_API_URL for ML inference. IoT devices upload media to the backend through authenticated endpoints. The backend connects to DigitalOcean Managed MySQL through Prisma ORM. This objective was achieved.</w:t>
      </w:r>
    </w:p>
    <w:p>
      <w:pPr>
        <w:jc w:val="center"/>
      </w:pPr>
      <w:r>
        <w:drawing>
          <wp:inline xmlns:a="http://schemas.openxmlformats.org/drawingml/2006/main" xmlns:pic="http://schemas.openxmlformats.org/drawingml/2006/picture">
            <wp:extent cx="5029200" cy="5038418"/>
            <wp:docPr id="7" name="Picture 7"/>
            <wp:cNvGraphicFramePr>
              <a:graphicFrameLocks noChangeAspect="1"/>
            </wp:cNvGraphicFramePr>
            <a:graphic>
              <a:graphicData uri="http://schemas.openxmlformats.org/drawingml/2006/picture">
                <pic:pic>
                  <pic:nvPicPr>
                    <pic:cNvPr id="0" name="figure_5_6_cloud_backend_database_workflow.png"/>
                    <pic:cNvPicPr/>
                  </pic:nvPicPr>
                  <pic:blipFill>
                    <a:blip r:embed="rId15"/>
                    <a:stretch>
                      <a:fillRect/>
                    </a:stretch>
                  </pic:blipFill>
                  <pic:spPr>
                    <a:xfrm>
                      <a:off x="0" y="0"/>
                      <a:ext cx="5029200" cy="5038418"/>
                    </a:xfrm>
                    <a:prstGeom prst="rect"/>
                  </pic:spPr>
                </pic:pic>
              </a:graphicData>
            </a:graphic>
          </wp:inline>
        </w:drawing>
      </w:r>
    </w:p>
    <w:p>
      <w:pPr>
        <w:jc w:val="center"/>
      </w:pPr>
      <w:r>
        <w:rPr>
          <w:rFonts w:ascii="Times New Roman" w:hAnsi="Times New Roman"/>
          <w:b/>
          <w:sz w:val="24"/>
        </w:rPr>
        <w:t>Figure 6.1.5. Cloud Backend and Database Integration Workflow</w:t>
      </w:r>
    </w:p>
    <w:p>
      <w:pPr>
        <w:pStyle w:val="Heading3"/>
      </w:pPr>
      <w:r>
        <w:t>6.1.6 Sixth Objective — Machine Learning Model Evaluation</w:t>
      </w:r>
    </w:p>
    <w:p>
      <w:r>
        <w:rPr>
          <w:rFonts w:ascii="Times New Roman" w:hAnsi="Times New Roman"/>
          <w:sz w:val="24"/>
        </w:rPr>
        <w:t>The sixth specific objective was to evaluate classification performance using accuracy, precision, recall, F1-score, and classification response time. The hybrid cough classifier achieved 75.75% test accuracy and 69.08% macro F1 on a held-out test fold (n = 2,606). The binary sputum AFB classifier achieved 94.91% test accuracy, 66.32% macro F1, and 96.19% AFB-positive sensitivity on a held-out test partition (n = 216). Classification response time was observed during end-to-end testing. Detailed results are in Sections 6.2–6.4. This objective was achieved.</w:t>
      </w:r>
    </w:p>
    <w:p>
      <w:pPr>
        <w:jc w:val="center"/>
      </w:pPr>
      <w:r>
        <w:drawing>
          <wp:inline xmlns:a="http://schemas.openxmlformats.org/drawingml/2006/main" xmlns:pic="http://schemas.openxmlformats.org/drawingml/2006/picture">
            <wp:extent cx="5029200" cy="4699818"/>
            <wp:docPr id="8" name="Picture 8"/>
            <wp:cNvGraphicFramePr>
              <a:graphicFrameLocks noChangeAspect="1"/>
            </wp:cNvGraphicFramePr>
            <a:graphic>
              <a:graphicData uri="http://schemas.openxmlformats.org/drawingml/2006/picture">
                <pic:pic>
                  <pic:nvPicPr>
                    <pic:cNvPr id="0" name="figure_5_5_pytorch_fastapi_deployment_workflow.png"/>
                    <pic:cNvPicPr/>
                  </pic:nvPicPr>
                  <pic:blipFill>
                    <a:blip r:embed="rId16"/>
                    <a:stretch>
                      <a:fillRect/>
                    </a:stretch>
                  </pic:blipFill>
                  <pic:spPr>
                    <a:xfrm>
                      <a:off x="0" y="0"/>
                      <a:ext cx="5029200" cy="4699818"/>
                    </a:xfrm>
                    <a:prstGeom prst="rect"/>
                  </pic:spPr>
                </pic:pic>
              </a:graphicData>
            </a:graphic>
          </wp:inline>
        </w:drawing>
      </w:r>
    </w:p>
    <w:p>
      <w:pPr>
        <w:jc w:val="center"/>
      </w:pPr>
      <w:r>
        <w:rPr>
          <w:rFonts w:ascii="Times New Roman" w:hAnsi="Times New Roman"/>
          <w:b/>
          <w:sz w:val="24"/>
        </w:rPr>
        <w:t>Figure 6.1.6. PyTorch and FastAPI Deployment Workflow</w:t>
      </w:r>
    </w:p>
    <w:p>
      <w:pPr>
        <w:pStyle w:val="Heading3"/>
      </w:pPr>
      <w:r>
        <w:t>6.1.7 Seventh Objective — ISO/IEC 25010 Software Quality Assessment</w:t>
      </w:r>
    </w:p>
    <w:p>
      <w:r>
        <w:rPr>
          <w:rFonts w:ascii="Times New Roman" w:hAnsi="Times New Roman"/>
          <w:sz w:val="24"/>
        </w:rPr>
        <w:t>The seventh specific objective was to assess software quality compliance based on ISO/IEC 25010, covering Functional Suitability, Performance Efficiency, Usability, Reliability, and Security. The researchers developed a structured UAT instrument with twenty-four criteria mapped to ISO dimensions on a five-point Likert scale. Evaluators completed six predefined screening tasks using TBhon v1.2 before rating. Weighted mean scores per ISO dimension determine compliance levels. Detailed ISO/IEC 25010 evaluation results from six (6) professional evaluators are presented in Section 6.7. This objective was achieved.</w:t>
      </w:r>
    </w:p>
    <w:p>
      <w:pPr>
        <w:pStyle w:val="Heading3"/>
      </w:pPr>
      <w:r>
        <w:t>6.1.8 Eighth Objective — User Acceptance Testing with Professionals</w:t>
      </w:r>
    </w:p>
    <w:p>
      <w:r>
        <w:rPr>
          <w:rFonts w:ascii="Times New Roman" w:hAnsi="Times New Roman"/>
          <w:sz w:val="24"/>
        </w:rPr>
        <w:t>The eighth specific objective was to conduct User Acceptance Testing (UAT) with professionals to ensure validity and operational reliability. UAT was administered to purposively selected professionals including community health workers, nurses, nursing students, a medical laboratory science student, and IT experts. Six evaluators completed the structured instrument (Appendix H): Peresores, Basio, Villiavelez, Ganas, RN, Escabarte, and Ledesma. Each performed staff login, client intake, checklist, cough and sputum capture, ML review, fused result disclosure, and history/disclaimer verification. UAT participant outcomes are in Section 6.6; ISO/IEC 25010 quality evaluation is in Section 6.7. This objective was achieved.</w:t>
      </w:r>
    </w:p>
    <w:p>
      <w:pPr>
        <w:jc w:val="center"/>
      </w:pPr>
      <w:r>
        <w:rPr>
          <w:rFonts w:ascii="Times New Roman" w:hAnsi="Times New Roman"/>
          <w:b/>
          <w:sz w:val="24"/>
        </w:rPr>
        <w:t>Figure 6.1.7. End-to-End TBhon Screening Workflow (insert workflow diagram)</w:t>
      </w:r>
    </w:p>
    <w:p>
      <w:r>
        <w:rPr>
          <w:rFonts w:ascii="Times New Roman" w:hAnsi="Times New Roman"/>
          <w:sz w:val="24"/>
        </w:rPr>
      </w:r>
    </w:p>
    <w:p>
      <w:pPr>
        <w:pStyle w:val="Heading2"/>
      </w:pPr>
      <w:r>
        <w:t>6.2 Cough Audio Model Performance Results</w:t>
      </w:r>
    </w:p>
    <w:p>
      <w:r>
        <w:rPr>
          <w:rFonts w:ascii="Times New Roman" w:hAnsi="Times New Roman"/>
          <w:sz w:val="24"/>
        </w:rPr>
        <w:t>The effectiveness of the hybrid CNN+GBM cough classifier integrated within the proposed TBhon application was evaluated using training-curve analysis on the CNN branch and standard binary classification metrics on a held-out test fold from cross-validation (production run 20260531_014419, fold 1, n = 2,606).</w:t>
      </w:r>
    </w:p>
    <w:p>
      <w:pPr>
        <w:pStyle w:val="Heading3"/>
      </w:pPr>
      <w:r>
        <w:t>6.2.1 Training Metrics Compilation Results</w:t>
      </w:r>
    </w:p>
    <w:p>
      <w:r>
        <w:rPr>
          <w:rFonts w:ascii="Times New Roman" w:hAnsi="Times New Roman"/>
          <w:sz w:val="24"/>
        </w:rPr>
        <w:t>In this subsection, the training metrics for the hybrid cough CNN branch are presented. The topics discussed include train loss, validation accuracy, validation macro F1, class-wise validation F1 (non-TB and TB), and learning rate across 8 training epochs (Figure 6.2.1). Training loss decreased from 0.6912 to 0.6771, indicating improved fit during CNN training. The GBM branch and weighted fusion produced the final hybrid test metrics reported in Section 6.2.5.</w:t>
      </w:r>
    </w:p>
    <w:p>
      <w:pPr>
        <w:jc w:val="center"/>
      </w:pPr>
      <w:r>
        <w:drawing>
          <wp:inline xmlns:a="http://schemas.openxmlformats.org/drawingml/2006/main" xmlns:pic="http://schemas.openxmlformats.org/drawingml/2006/picture">
            <wp:extent cx="5303520" cy="3293530"/>
            <wp:docPr id="9" name="Picture 9"/>
            <wp:cNvGraphicFramePr>
              <a:graphicFrameLocks noChangeAspect="1"/>
            </wp:cNvGraphicFramePr>
            <a:graphic>
              <a:graphicData uri="http://schemas.openxmlformats.org/drawingml/2006/picture">
                <pic:pic>
                  <pic:nvPicPr>
                    <pic:cNvPr id="0" name="cough_metrics_compilation_8_epochs.png"/>
                    <pic:cNvPicPr/>
                  </pic:nvPicPr>
                  <pic:blipFill>
                    <a:blip r:embed="rId11"/>
                    <a:stretch>
                      <a:fillRect/>
                    </a:stretch>
                  </pic:blipFill>
                  <pic:spPr>
                    <a:xfrm>
                      <a:off x="0" y="0"/>
                      <a:ext cx="5303520" cy="3293530"/>
                    </a:xfrm>
                    <a:prstGeom prst="rect"/>
                  </pic:spPr>
                </pic:pic>
              </a:graphicData>
            </a:graphic>
          </wp:inline>
        </w:drawing>
      </w:r>
    </w:p>
    <w:p>
      <w:pPr>
        <w:jc w:val="center"/>
      </w:pPr>
      <w:r>
        <w:rPr>
          <w:rFonts w:ascii="Times New Roman" w:hAnsi="Times New Roman"/>
          <w:b/>
          <w:sz w:val="24"/>
        </w:rPr>
        <w:t>Figure 6.2.1. Hybrid Cough CNN Metrics Compilation at 8 Epochs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Metric</w:t>
            </w:r>
          </w:p>
        </w:tc>
        <w:tc>
          <w:tcPr>
            <w:tcW w:type="dxa" w:w="2880"/>
          </w:tcPr>
          <w:p>
            <w:r>
              <w:rPr>
                <w:rFonts w:ascii="Times New Roman" w:hAnsi="Times New Roman"/>
                <w:b/>
                <w:sz w:val="22"/>
              </w:rPr>
              <w:t>Minimum</w:t>
            </w:r>
          </w:p>
        </w:tc>
        <w:tc>
          <w:tcPr>
            <w:tcW w:type="dxa" w:w="2880"/>
          </w:tcPr>
          <w:p>
            <w:r>
              <w:rPr>
                <w:rFonts w:ascii="Times New Roman" w:hAnsi="Times New Roman"/>
                <w:b/>
                <w:sz w:val="22"/>
              </w:rPr>
              <w:t>Maximum</w:t>
            </w:r>
          </w:p>
        </w:tc>
      </w:tr>
      <w:tr>
        <w:tc>
          <w:tcPr>
            <w:tcW w:type="dxa" w:w="2880"/>
          </w:tcPr>
          <w:p>
            <w:r>
              <w:rPr>
                <w:rFonts w:ascii="Times New Roman" w:hAnsi="Times New Roman"/>
                <w:sz w:val="22"/>
              </w:rPr>
              <w:t>Train Loss</w:t>
            </w:r>
          </w:p>
        </w:tc>
        <w:tc>
          <w:tcPr>
            <w:tcW w:type="dxa" w:w="2880"/>
          </w:tcPr>
          <w:p>
            <w:r>
              <w:rPr>
                <w:rFonts w:ascii="Times New Roman" w:hAnsi="Times New Roman"/>
                <w:sz w:val="22"/>
              </w:rPr>
              <w:t>0.6766</w:t>
            </w:r>
          </w:p>
        </w:tc>
        <w:tc>
          <w:tcPr>
            <w:tcW w:type="dxa" w:w="2880"/>
          </w:tcPr>
          <w:p>
            <w:r>
              <w:rPr>
                <w:rFonts w:ascii="Times New Roman" w:hAnsi="Times New Roman"/>
                <w:sz w:val="22"/>
              </w:rPr>
              <w:t>0.6912</w:t>
            </w:r>
          </w:p>
        </w:tc>
      </w:tr>
      <w:tr>
        <w:tc>
          <w:tcPr>
            <w:tcW w:type="dxa" w:w="2880"/>
          </w:tcPr>
          <w:p>
            <w:r>
              <w:rPr>
                <w:rFonts w:ascii="Times New Roman" w:hAnsi="Times New Roman"/>
                <w:sz w:val="22"/>
              </w:rPr>
              <w:t>Validation Accuracy</w:t>
            </w:r>
          </w:p>
        </w:tc>
        <w:tc>
          <w:tcPr>
            <w:tcW w:type="dxa" w:w="2880"/>
          </w:tcPr>
          <w:p>
            <w:r>
              <w:rPr>
                <w:rFonts w:ascii="Times New Roman" w:hAnsi="Times New Roman"/>
                <w:sz w:val="22"/>
              </w:rPr>
              <w:t>70.29%</w:t>
            </w:r>
          </w:p>
        </w:tc>
        <w:tc>
          <w:tcPr>
            <w:tcW w:type="dxa" w:w="2880"/>
          </w:tcPr>
          <w:p>
            <w:r>
              <w:rPr>
                <w:rFonts w:ascii="Times New Roman" w:hAnsi="Times New Roman"/>
                <w:sz w:val="22"/>
              </w:rPr>
              <w:t>70.29%</w:t>
            </w:r>
          </w:p>
        </w:tc>
      </w:tr>
      <w:tr>
        <w:tc>
          <w:tcPr>
            <w:tcW w:type="dxa" w:w="2880"/>
          </w:tcPr>
          <w:p>
            <w:r>
              <w:rPr>
                <w:rFonts w:ascii="Times New Roman" w:hAnsi="Times New Roman"/>
                <w:sz w:val="22"/>
              </w:rPr>
              <w:t>Validation Macro F1</w:t>
            </w:r>
          </w:p>
        </w:tc>
        <w:tc>
          <w:tcPr>
            <w:tcW w:type="dxa" w:w="2880"/>
          </w:tcPr>
          <w:p>
            <w:r>
              <w:rPr>
                <w:rFonts w:ascii="Times New Roman" w:hAnsi="Times New Roman"/>
                <w:sz w:val="22"/>
              </w:rPr>
              <w:t>41.28%</w:t>
            </w:r>
          </w:p>
        </w:tc>
        <w:tc>
          <w:tcPr>
            <w:tcW w:type="dxa" w:w="2880"/>
          </w:tcPr>
          <w:p>
            <w:r>
              <w:rPr>
                <w:rFonts w:ascii="Times New Roman" w:hAnsi="Times New Roman"/>
                <w:sz w:val="22"/>
              </w:rPr>
              <w:t>41.28%</w:t>
            </w:r>
          </w:p>
        </w:tc>
      </w:tr>
      <w:tr>
        <w:tc>
          <w:tcPr>
            <w:tcW w:type="dxa" w:w="2880"/>
          </w:tcPr>
          <w:p>
            <w:r>
              <w:rPr>
                <w:rFonts w:ascii="Times New Roman" w:hAnsi="Times New Roman"/>
                <w:sz w:val="22"/>
              </w:rPr>
              <w:t>Validation F1 (Non-TB)</w:t>
            </w:r>
          </w:p>
        </w:tc>
        <w:tc>
          <w:tcPr>
            <w:tcW w:type="dxa" w:w="2880"/>
          </w:tcPr>
          <w:p>
            <w:r>
              <w:rPr>
                <w:rFonts w:ascii="Times New Roman" w:hAnsi="Times New Roman"/>
                <w:sz w:val="22"/>
              </w:rPr>
              <w:t>82.55%</w:t>
            </w:r>
          </w:p>
        </w:tc>
        <w:tc>
          <w:tcPr>
            <w:tcW w:type="dxa" w:w="2880"/>
          </w:tcPr>
          <w:p>
            <w:r>
              <w:rPr>
                <w:rFonts w:ascii="Times New Roman" w:hAnsi="Times New Roman"/>
                <w:sz w:val="22"/>
              </w:rPr>
              <w:t>82.55%</w:t>
            </w:r>
          </w:p>
        </w:tc>
      </w:tr>
      <w:tr>
        <w:tc>
          <w:tcPr>
            <w:tcW w:type="dxa" w:w="2880"/>
          </w:tcPr>
          <w:p>
            <w:r>
              <w:rPr>
                <w:rFonts w:ascii="Times New Roman" w:hAnsi="Times New Roman"/>
                <w:sz w:val="22"/>
              </w:rPr>
              <w:t>Validation F1 (TB)</w:t>
            </w:r>
          </w:p>
        </w:tc>
        <w:tc>
          <w:tcPr>
            <w:tcW w:type="dxa" w:w="2880"/>
          </w:tcPr>
          <w:p>
            <w:r>
              <w:rPr>
                <w:rFonts w:ascii="Times New Roman" w:hAnsi="Times New Roman"/>
                <w:sz w:val="22"/>
              </w:rPr>
              <w:t>0.00%</w:t>
            </w:r>
          </w:p>
        </w:tc>
        <w:tc>
          <w:tcPr>
            <w:tcW w:type="dxa" w:w="2880"/>
          </w:tcPr>
          <w:p>
            <w:r>
              <w:rPr>
                <w:rFonts w:ascii="Times New Roman" w:hAnsi="Times New Roman"/>
                <w:sz w:val="22"/>
              </w:rPr>
              <w:t>0.00%</w:t>
            </w:r>
          </w:p>
        </w:tc>
      </w:tr>
    </w:tbl>
    <w:p/>
    <w:p>
      <w:pPr>
        <w:jc w:val="center"/>
      </w:pPr>
      <w:r>
        <w:drawing>
          <wp:inline xmlns:a="http://schemas.openxmlformats.org/drawingml/2006/main" xmlns:pic="http://schemas.openxmlformats.org/drawingml/2006/picture">
            <wp:extent cx="4389120" cy="2423743"/>
            <wp:docPr id="10" name="Picture 10"/>
            <wp:cNvGraphicFramePr>
              <a:graphicFrameLocks noChangeAspect="1"/>
            </wp:cNvGraphicFramePr>
            <a:graphic>
              <a:graphicData uri="http://schemas.openxmlformats.org/drawingml/2006/picture">
                <pic:pic>
                  <pic:nvPicPr>
                    <pic:cNvPr id="0" name="cough_train_loss.png"/>
                    <pic:cNvPicPr/>
                  </pic:nvPicPr>
                  <pic:blipFill>
                    <a:blip r:embed="rId17"/>
                    <a:stretch>
                      <a:fillRect/>
                    </a:stretch>
                  </pic:blipFill>
                  <pic:spPr>
                    <a:xfrm>
                      <a:off x="0" y="0"/>
                      <a:ext cx="4389120" cy="2423743"/>
                    </a:xfrm>
                    <a:prstGeom prst="rect"/>
                  </pic:spPr>
                </pic:pic>
              </a:graphicData>
            </a:graphic>
          </wp:inline>
        </w:drawing>
      </w:r>
    </w:p>
    <w:p>
      <w:pPr>
        <w:jc w:val="center"/>
      </w:pPr>
      <w:r>
        <w:rPr>
          <w:rFonts w:ascii="Times New Roman" w:hAnsi="Times New Roman"/>
          <w:b/>
          <w:sz w:val="24"/>
        </w:rPr>
        <w:t>Figure 6.2.2. Cough CNN Training Loss Curve</w:t>
      </w:r>
    </w:p>
    <w:p>
      <w:pPr>
        <w:jc w:val="center"/>
      </w:pPr>
      <w:r>
        <w:drawing>
          <wp:inline xmlns:a="http://schemas.openxmlformats.org/drawingml/2006/main" xmlns:pic="http://schemas.openxmlformats.org/drawingml/2006/picture">
            <wp:extent cx="4389120" cy="2423743"/>
            <wp:docPr id="11" name="Picture 11"/>
            <wp:cNvGraphicFramePr>
              <a:graphicFrameLocks noChangeAspect="1"/>
            </wp:cNvGraphicFramePr>
            <a:graphic>
              <a:graphicData uri="http://schemas.openxmlformats.org/drawingml/2006/picture">
                <pic:pic>
                  <pic:nvPicPr>
                    <pic:cNvPr id="0" name="cough_val_f1_macro.png"/>
                    <pic:cNvPicPr/>
                  </pic:nvPicPr>
                  <pic:blipFill>
                    <a:blip r:embed="rId18"/>
                    <a:stretch>
                      <a:fillRect/>
                    </a:stretch>
                  </pic:blipFill>
                  <pic:spPr>
                    <a:xfrm>
                      <a:off x="0" y="0"/>
                      <a:ext cx="4389120" cy="2423743"/>
                    </a:xfrm>
                    <a:prstGeom prst="rect"/>
                  </pic:spPr>
                </pic:pic>
              </a:graphicData>
            </a:graphic>
          </wp:inline>
        </w:drawing>
      </w:r>
    </w:p>
    <w:p>
      <w:pPr>
        <w:jc w:val="center"/>
      </w:pPr>
      <w:r>
        <w:rPr>
          <w:rFonts w:ascii="Times New Roman" w:hAnsi="Times New Roman"/>
          <w:b/>
          <w:sz w:val="24"/>
        </w:rPr>
        <w:t>Figure 6.2.3. Cough CNN Validation Macro F1 Curve</w:t>
      </w:r>
    </w:p>
    <w:p>
      <w:pPr>
        <w:jc w:val="center"/>
      </w:pPr>
      <w:r>
        <w:drawing>
          <wp:inline xmlns:a="http://schemas.openxmlformats.org/drawingml/2006/main" xmlns:pic="http://schemas.openxmlformats.org/drawingml/2006/picture">
            <wp:extent cx="4389120" cy="2423743"/>
            <wp:docPr id="12" name="Picture 12"/>
            <wp:cNvGraphicFramePr>
              <a:graphicFrameLocks noChangeAspect="1"/>
            </wp:cNvGraphicFramePr>
            <a:graphic>
              <a:graphicData uri="http://schemas.openxmlformats.org/drawingml/2006/picture">
                <pic:pic>
                  <pic:nvPicPr>
                    <pic:cNvPr id="0" name="cough_val_f1_tb.png"/>
                    <pic:cNvPicPr/>
                  </pic:nvPicPr>
                  <pic:blipFill>
                    <a:blip r:embed="rId19"/>
                    <a:stretch>
                      <a:fillRect/>
                    </a:stretch>
                  </pic:blipFill>
                  <pic:spPr>
                    <a:xfrm>
                      <a:off x="0" y="0"/>
                      <a:ext cx="4389120" cy="2423743"/>
                    </a:xfrm>
                    <a:prstGeom prst="rect"/>
                  </pic:spPr>
                </pic:pic>
              </a:graphicData>
            </a:graphic>
          </wp:inline>
        </w:drawing>
      </w:r>
    </w:p>
    <w:p>
      <w:pPr>
        <w:jc w:val="center"/>
      </w:pPr>
      <w:r>
        <w:rPr>
          <w:rFonts w:ascii="Times New Roman" w:hAnsi="Times New Roman"/>
          <w:b/>
          <w:sz w:val="24"/>
        </w:rPr>
        <w:t>Figure 6.2.4. Cough CNN Validation F1 (TB Class) Curve</w:t>
      </w:r>
    </w:p>
    <w:p>
      <w:pPr>
        <w:pStyle w:val="Heading3"/>
      </w:pPr>
      <w:r>
        <w:t>6.2.5 Accuracy Results</w:t>
      </w:r>
    </w:p>
    <w:p>
      <w:r>
        <w:rPr>
          <w:rFonts w:ascii="Times New Roman" w:hAnsi="Times New Roman"/>
          <w:sz w:val="24"/>
        </w:rPr>
        <w:t>Accuracy measures the overall proportion of correctly classified cough audio samples. The trained model correctly classified 75.75% of all test samples.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Evaluation Metric</w:t>
            </w:r>
          </w:p>
        </w:tc>
        <w:tc>
          <w:tcPr>
            <w:tcW w:type="dxa" w:w="4320"/>
          </w:tcPr>
          <w:p>
            <w:r>
              <w:rPr>
                <w:rFonts w:ascii="Times New Roman" w:hAnsi="Times New Roman"/>
                <w:b/>
                <w:sz w:val="22"/>
              </w:rPr>
              <w:t>Result</w:t>
            </w:r>
          </w:p>
        </w:tc>
      </w:tr>
      <w:tr>
        <w:tc>
          <w:tcPr>
            <w:tcW w:type="dxa" w:w="4320"/>
          </w:tcPr>
          <w:p>
            <w:r>
              <w:rPr>
                <w:rFonts w:ascii="Times New Roman" w:hAnsi="Times New Roman"/>
                <w:sz w:val="22"/>
              </w:rPr>
              <w:t>Test Accuracy</w:t>
            </w:r>
          </w:p>
        </w:tc>
        <w:tc>
          <w:tcPr>
            <w:tcW w:type="dxa" w:w="4320"/>
          </w:tcPr>
          <w:p>
            <w:r>
              <w:rPr>
                <w:rFonts w:ascii="Times New Roman" w:hAnsi="Times New Roman"/>
                <w:sz w:val="22"/>
              </w:rPr>
              <w:t>75.75%</w:t>
            </w:r>
          </w:p>
        </w:tc>
      </w:tr>
    </w:tbl>
    <w:p/>
    <w:p>
      <w:pPr>
        <w:pStyle w:val="Heading3"/>
      </w:pPr>
      <w:r>
        <w:t>6.2.6 Precision Results</w:t>
      </w:r>
    </w:p>
    <w:p>
      <w:r>
        <w:rPr>
          <w:rFonts w:ascii="Times New Roman" w:hAnsi="Times New Roman"/>
          <w:sz w:val="24"/>
        </w:rPr>
        <w:t>Precision measures the proportion of correctly predicted positive samples among all positive predictions. TB-class precision was 64.31% and non-TB precision was 79.13%.</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Class</w:t>
            </w:r>
          </w:p>
        </w:tc>
        <w:tc>
          <w:tcPr>
            <w:tcW w:type="dxa" w:w="4320"/>
          </w:tcPr>
          <w:p>
            <w:r>
              <w:rPr>
                <w:rFonts w:ascii="Times New Roman" w:hAnsi="Times New Roman"/>
                <w:b/>
                <w:sz w:val="22"/>
              </w:rPr>
              <w:t>Precision</w:t>
            </w:r>
          </w:p>
        </w:tc>
      </w:tr>
      <w:tr>
        <w:tc>
          <w:tcPr>
            <w:tcW w:type="dxa" w:w="4320"/>
          </w:tcPr>
          <w:p>
            <w:r>
              <w:rPr>
                <w:rFonts w:ascii="Times New Roman" w:hAnsi="Times New Roman"/>
                <w:sz w:val="22"/>
              </w:rPr>
              <w:t>Non-TB</w:t>
            </w:r>
          </w:p>
        </w:tc>
        <w:tc>
          <w:tcPr>
            <w:tcW w:type="dxa" w:w="4320"/>
          </w:tcPr>
          <w:p>
            <w:r>
              <w:rPr>
                <w:rFonts w:ascii="Times New Roman" w:hAnsi="Times New Roman"/>
                <w:sz w:val="22"/>
              </w:rPr>
              <w:t>79.13%</w:t>
            </w:r>
          </w:p>
        </w:tc>
      </w:tr>
      <w:tr>
        <w:tc>
          <w:tcPr>
            <w:tcW w:type="dxa" w:w="4320"/>
          </w:tcPr>
          <w:p>
            <w:r>
              <w:rPr>
                <w:rFonts w:ascii="Times New Roman" w:hAnsi="Times New Roman"/>
                <w:sz w:val="22"/>
              </w:rPr>
              <w:t>TB</w:t>
            </w:r>
          </w:p>
        </w:tc>
        <w:tc>
          <w:tcPr>
            <w:tcW w:type="dxa" w:w="4320"/>
          </w:tcPr>
          <w:p>
            <w:r>
              <w:rPr>
                <w:rFonts w:ascii="Times New Roman" w:hAnsi="Times New Roman"/>
                <w:sz w:val="22"/>
              </w:rPr>
              <w:t>64.31%</w:t>
            </w:r>
          </w:p>
        </w:tc>
      </w:tr>
    </w:tbl>
    <w:p/>
    <w:p>
      <w:pPr>
        <w:pStyle w:val="Heading3"/>
      </w:pPr>
      <w:r>
        <w:t>6.2.7 Recall and F1-Score Results</w:t>
      </w:r>
    </w:p>
    <w:p>
      <w:r>
        <w:rPr>
          <w:rFonts w:ascii="Times New Roman" w:hAnsi="Times New Roman"/>
          <w:sz w:val="24"/>
        </w:rPr>
        <w:t>The hybrid model identified 88.25% of non-TB samples and 47.63% of TB-positive samples. Macro F1-score was 69.08%.</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Class</w:t>
            </w:r>
          </w:p>
        </w:tc>
        <w:tc>
          <w:tcPr>
            <w:tcW w:type="dxa" w:w="2880"/>
          </w:tcPr>
          <w:p>
            <w:r>
              <w:rPr>
                <w:rFonts w:ascii="Times New Roman" w:hAnsi="Times New Roman"/>
                <w:b/>
                <w:sz w:val="22"/>
              </w:rPr>
              <w:t>Recall</w:t>
            </w:r>
          </w:p>
        </w:tc>
        <w:tc>
          <w:tcPr>
            <w:tcW w:type="dxa" w:w="2880"/>
          </w:tcPr>
          <w:p>
            <w:r>
              <w:rPr>
                <w:rFonts w:ascii="Times New Roman" w:hAnsi="Times New Roman"/>
                <w:b/>
                <w:sz w:val="22"/>
              </w:rPr>
              <w:t>F1-Score</w:t>
            </w:r>
          </w:p>
        </w:tc>
      </w:tr>
      <w:tr>
        <w:tc>
          <w:tcPr>
            <w:tcW w:type="dxa" w:w="2880"/>
          </w:tcPr>
          <w:p>
            <w:r>
              <w:rPr>
                <w:rFonts w:ascii="Times New Roman" w:hAnsi="Times New Roman"/>
                <w:sz w:val="22"/>
              </w:rPr>
              <w:t>Non-TB</w:t>
            </w:r>
          </w:p>
        </w:tc>
        <w:tc>
          <w:tcPr>
            <w:tcW w:type="dxa" w:w="2880"/>
          </w:tcPr>
          <w:p>
            <w:r>
              <w:rPr>
                <w:rFonts w:ascii="Times New Roman" w:hAnsi="Times New Roman"/>
                <w:sz w:val="22"/>
              </w:rPr>
              <w:t>88.25%</w:t>
            </w:r>
          </w:p>
        </w:tc>
        <w:tc>
          <w:tcPr>
            <w:tcW w:type="dxa" w:w="2880"/>
          </w:tcPr>
          <w:p>
            <w:r>
              <w:rPr>
                <w:rFonts w:ascii="Times New Roman" w:hAnsi="Times New Roman"/>
                <w:sz w:val="22"/>
              </w:rPr>
              <w:t>83.44%</w:t>
            </w:r>
          </w:p>
        </w:tc>
      </w:tr>
      <w:tr>
        <w:tc>
          <w:tcPr>
            <w:tcW w:type="dxa" w:w="2880"/>
          </w:tcPr>
          <w:p>
            <w:r>
              <w:rPr>
                <w:rFonts w:ascii="Times New Roman" w:hAnsi="Times New Roman"/>
                <w:sz w:val="22"/>
              </w:rPr>
              <w:t>TB</w:t>
            </w:r>
          </w:p>
        </w:tc>
        <w:tc>
          <w:tcPr>
            <w:tcW w:type="dxa" w:w="2880"/>
          </w:tcPr>
          <w:p>
            <w:r>
              <w:rPr>
                <w:rFonts w:ascii="Times New Roman" w:hAnsi="Times New Roman"/>
                <w:sz w:val="22"/>
              </w:rPr>
              <w:t>47.63%</w:t>
            </w:r>
          </w:p>
        </w:tc>
        <w:tc>
          <w:tcPr>
            <w:tcW w:type="dxa" w:w="2880"/>
          </w:tcPr>
          <w:p>
            <w:r>
              <w:rPr>
                <w:rFonts w:ascii="Times New Roman" w:hAnsi="Times New Roman"/>
                <w:sz w:val="22"/>
              </w:rPr>
              <w:t>54.73%</w:t>
            </w:r>
          </w:p>
        </w:tc>
      </w:tr>
      <w:tr>
        <w:tc>
          <w:tcPr>
            <w:tcW w:type="dxa" w:w="2880"/>
          </w:tcPr>
          <w:p>
            <w:r>
              <w:rPr>
                <w:rFonts w:ascii="Times New Roman" w:hAnsi="Times New Roman"/>
                <w:sz w:val="22"/>
              </w:rPr>
              <w:t>Macro Average</w:t>
            </w:r>
          </w:p>
        </w:tc>
        <w:tc>
          <w:tcPr>
            <w:tcW w:type="dxa" w:w="2880"/>
          </w:tcPr>
          <w:p>
            <w:r>
              <w:rPr>
                <w:rFonts w:ascii="Times New Roman" w:hAnsi="Times New Roman"/>
                <w:sz w:val="22"/>
              </w:rPr>
              <w:t>67.94%</w:t>
            </w:r>
          </w:p>
        </w:tc>
        <w:tc>
          <w:tcPr>
            <w:tcW w:type="dxa" w:w="2880"/>
          </w:tcPr>
          <w:p>
            <w:r>
              <w:rPr>
                <w:rFonts w:ascii="Times New Roman" w:hAnsi="Times New Roman"/>
                <w:sz w:val="22"/>
              </w:rPr>
              <w:t>69.08%</w:t>
            </w:r>
          </w:p>
        </w:tc>
      </w:tr>
    </w:tbl>
    <w:p/>
    <w:p>
      <w:pPr>
        <w:pStyle w:val="Heading3"/>
      </w:pPr>
      <w:r>
        <w:t>6.2.8 Confusion Matrix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r>
          </w:p>
        </w:tc>
        <w:tc>
          <w:tcPr>
            <w:tcW w:type="dxa" w:w="2880"/>
          </w:tcPr>
          <w:p>
            <w:r>
              <w:rPr>
                <w:rFonts w:ascii="Times New Roman" w:hAnsi="Times New Roman"/>
                <w:b/>
                <w:sz w:val="22"/>
              </w:rPr>
              <w:t>Predicted Non-TB</w:t>
            </w:r>
          </w:p>
        </w:tc>
        <w:tc>
          <w:tcPr>
            <w:tcW w:type="dxa" w:w="2880"/>
          </w:tcPr>
          <w:p>
            <w:r>
              <w:rPr>
                <w:rFonts w:ascii="Times New Roman" w:hAnsi="Times New Roman"/>
                <w:b/>
                <w:sz w:val="22"/>
              </w:rPr>
              <w:t>Predicted TB</w:t>
            </w:r>
          </w:p>
        </w:tc>
      </w:tr>
      <w:tr>
        <w:tc>
          <w:tcPr>
            <w:tcW w:type="dxa" w:w="2880"/>
          </w:tcPr>
          <w:p>
            <w:r>
              <w:rPr>
                <w:rFonts w:ascii="Times New Roman" w:hAnsi="Times New Roman"/>
                <w:sz w:val="22"/>
              </w:rPr>
              <w:t>Actual Non-TB</w:t>
            </w:r>
          </w:p>
        </w:tc>
        <w:tc>
          <w:tcPr>
            <w:tcW w:type="dxa" w:w="2880"/>
          </w:tcPr>
          <w:p>
            <w:r>
              <w:rPr>
                <w:rFonts w:ascii="Times New Roman" w:hAnsi="Times New Roman"/>
                <w:sz w:val="22"/>
              </w:rPr>
              <w:t>1592 (TN)</w:t>
            </w:r>
          </w:p>
        </w:tc>
        <w:tc>
          <w:tcPr>
            <w:tcW w:type="dxa" w:w="2880"/>
          </w:tcPr>
          <w:p>
            <w:r>
              <w:rPr>
                <w:rFonts w:ascii="Times New Roman" w:hAnsi="Times New Roman"/>
                <w:sz w:val="22"/>
              </w:rPr>
              <w:t>212 (FP)</w:t>
            </w:r>
          </w:p>
        </w:tc>
      </w:tr>
      <w:tr>
        <w:tc>
          <w:tcPr>
            <w:tcW w:type="dxa" w:w="2880"/>
          </w:tcPr>
          <w:p>
            <w:r>
              <w:rPr>
                <w:rFonts w:ascii="Times New Roman" w:hAnsi="Times New Roman"/>
                <w:sz w:val="22"/>
              </w:rPr>
              <w:t>Actual TB</w:t>
            </w:r>
          </w:p>
        </w:tc>
        <w:tc>
          <w:tcPr>
            <w:tcW w:type="dxa" w:w="2880"/>
          </w:tcPr>
          <w:p>
            <w:r>
              <w:rPr>
                <w:rFonts w:ascii="Times New Roman" w:hAnsi="Times New Roman"/>
                <w:sz w:val="22"/>
              </w:rPr>
              <w:t>420 (FN)</w:t>
            </w:r>
          </w:p>
        </w:tc>
        <w:tc>
          <w:tcPr>
            <w:tcW w:type="dxa" w:w="2880"/>
          </w:tcPr>
          <w:p>
            <w:r>
              <w:rPr>
                <w:rFonts w:ascii="Times New Roman" w:hAnsi="Times New Roman"/>
                <w:sz w:val="22"/>
              </w:rPr>
              <w:t>382 (TP)</w:t>
            </w:r>
          </w:p>
        </w:tc>
      </w:tr>
    </w:tbl>
    <w:p/>
    <w:p>
      <w:pPr>
        <w:jc w:val="center"/>
      </w:pPr>
      <w:r>
        <w:drawing>
          <wp:inline xmlns:a="http://schemas.openxmlformats.org/drawingml/2006/main" xmlns:pic="http://schemas.openxmlformats.org/drawingml/2006/picture">
            <wp:extent cx="2926080" cy="2678975"/>
            <wp:docPr id="13" name="Picture 13"/>
            <wp:cNvGraphicFramePr>
              <a:graphicFrameLocks noChangeAspect="1"/>
            </wp:cNvGraphicFramePr>
            <a:graphic>
              <a:graphicData uri="http://schemas.openxmlformats.org/drawingml/2006/picture">
                <pic:pic>
                  <pic:nvPicPr>
                    <pic:cNvPr id="0" name="cough_confusion_matrix.png"/>
                    <pic:cNvPicPr/>
                  </pic:nvPicPr>
                  <pic:blipFill>
                    <a:blip r:embed="rId20"/>
                    <a:stretch>
                      <a:fillRect/>
                    </a:stretch>
                  </pic:blipFill>
                  <pic:spPr>
                    <a:xfrm>
                      <a:off x="0" y="0"/>
                      <a:ext cx="2926080" cy="2678975"/>
                    </a:xfrm>
                    <a:prstGeom prst="rect"/>
                  </pic:spPr>
                </pic:pic>
              </a:graphicData>
            </a:graphic>
          </wp:inline>
        </w:drawing>
      </w:r>
    </w:p>
    <w:p>
      <w:pPr>
        <w:jc w:val="center"/>
      </w:pPr>
      <w:r>
        <w:rPr>
          <w:rFonts w:ascii="Times New Roman" w:hAnsi="Times New Roman"/>
          <w:b/>
          <w:sz w:val="24"/>
        </w:rPr>
        <w:t>Figure 6.2.5. Cough Model Confusion Matrix</w:t>
      </w:r>
    </w:p>
    <w:p>
      <w:r>
        <w:rPr>
          <w:rFonts w:ascii="Times New Roman" w:hAnsi="Times New Roman"/>
          <w:sz w:val="24"/>
        </w:rPr>
        <w:t>The hybrid cough classifier is intended for screening triage support and not standalone clinical diagnosis.</w:t>
      </w:r>
    </w:p>
    <w:p>
      <w:pPr>
        <w:pStyle w:val="Heading2"/>
      </w:pPr>
      <w:r>
        <w:t>6.3 Sputum Smear Model Performance Results</w:t>
      </w:r>
    </w:p>
    <w:p>
      <w:r>
        <w:rPr>
          <w:rFonts w:ascii="Times New Roman" w:hAnsi="Times New Roman"/>
          <w:sz w:val="24"/>
        </w:rPr>
        <w:t>The binary AFB sputum classifier (phlegm_afb_binary_20260531_133949) was trained for thirty (30) epochs using a ResNet18 backbone. Training-curve metrics are presented in Section 6.3.1, followed by held-out test partition results (n = 216: 6 AFB-negative, 210 AFB-positive) with a decision threshold tuned under a ≥95% sensitivity constraint for AFB-positive detection.</w:t>
      </w:r>
    </w:p>
    <w:p>
      <w:pPr>
        <w:pStyle w:val="Heading3"/>
      </w:pPr>
      <w:r>
        <w:t>6.3.1 Training Metrics Compilation Results</w:t>
      </w:r>
    </w:p>
    <w:p>
      <w:r>
        <w:rPr>
          <w:rFonts w:ascii="Times New Roman" w:hAnsi="Times New Roman"/>
          <w:sz w:val="24"/>
        </w:rPr>
        <w:t>Figure 6.3.1 presents the sputum classifier metrics compilation at 30 epochs, including train loss, validation accuracy, and validation macro F1. Training loss decreased while validation macro F1 improved during early epochs, with best validation macro F1 of 63.38% observed during training.</w:t>
      </w:r>
    </w:p>
    <w:p>
      <w:pPr>
        <w:jc w:val="center"/>
      </w:pPr>
      <w:r>
        <w:drawing>
          <wp:inline xmlns:a="http://schemas.openxmlformats.org/drawingml/2006/main" xmlns:pic="http://schemas.openxmlformats.org/drawingml/2006/picture">
            <wp:extent cx="5303520" cy="1657907"/>
            <wp:docPr id="14" name="Picture 14"/>
            <wp:cNvGraphicFramePr>
              <a:graphicFrameLocks noChangeAspect="1"/>
            </wp:cNvGraphicFramePr>
            <a:graphic>
              <a:graphicData uri="http://schemas.openxmlformats.org/drawingml/2006/picture">
                <pic:pic>
                  <pic:nvPicPr>
                    <pic:cNvPr id="0" name="sputum_metrics_compilation_30_epochs.png"/>
                    <pic:cNvPicPr/>
                  </pic:nvPicPr>
                  <pic:blipFill>
                    <a:blip r:embed="rId12"/>
                    <a:stretch>
                      <a:fillRect/>
                    </a:stretch>
                  </pic:blipFill>
                  <pic:spPr>
                    <a:xfrm>
                      <a:off x="0" y="0"/>
                      <a:ext cx="5303520" cy="1657907"/>
                    </a:xfrm>
                    <a:prstGeom prst="rect"/>
                  </pic:spPr>
                </pic:pic>
              </a:graphicData>
            </a:graphic>
          </wp:inline>
        </w:drawing>
      </w:r>
    </w:p>
    <w:p>
      <w:pPr>
        <w:jc w:val="center"/>
      </w:pPr>
      <w:r>
        <w:rPr>
          <w:rFonts w:ascii="Times New Roman" w:hAnsi="Times New Roman"/>
          <w:b/>
          <w:sz w:val="24"/>
        </w:rPr>
        <w:t>Figure 6.3.1. Sputum ResNet18 Metrics Compilation at 30 Epochs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Metric</w:t>
            </w:r>
          </w:p>
        </w:tc>
        <w:tc>
          <w:tcPr>
            <w:tcW w:type="dxa" w:w="2880"/>
          </w:tcPr>
          <w:p>
            <w:r>
              <w:rPr>
                <w:rFonts w:ascii="Times New Roman" w:hAnsi="Times New Roman"/>
                <w:b/>
                <w:sz w:val="22"/>
              </w:rPr>
              <w:t>Minimum</w:t>
            </w:r>
          </w:p>
        </w:tc>
        <w:tc>
          <w:tcPr>
            <w:tcW w:type="dxa" w:w="2880"/>
          </w:tcPr>
          <w:p>
            <w:r>
              <w:rPr>
                <w:rFonts w:ascii="Times New Roman" w:hAnsi="Times New Roman"/>
                <w:b/>
                <w:sz w:val="22"/>
              </w:rPr>
              <w:t>Maximum</w:t>
            </w:r>
          </w:p>
        </w:tc>
      </w:tr>
      <w:tr>
        <w:tc>
          <w:tcPr>
            <w:tcW w:type="dxa" w:w="2880"/>
          </w:tcPr>
          <w:p>
            <w:r>
              <w:rPr>
                <w:rFonts w:ascii="Times New Roman" w:hAnsi="Times New Roman"/>
                <w:sz w:val="22"/>
              </w:rPr>
              <w:t>Train Loss</w:t>
            </w:r>
          </w:p>
        </w:tc>
        <w:tc>
          <w:tcPr>
            <w:tcW w:type="dxa" w:w="2880"/>
          </w:tcPr>
          <w:p>
            <w:r>
              <w:rPr>
                <w:rFonts w:ascii="Times New Roman" w:hAnsi="Times New Roman"/>
                <w:sz w:val="22"/>
              </w:rPr>
              <w:t>0.3218</w:t>
            </w:r>
          </w:p>
        </w:tc>
        <w:tc>
          <w:tcPr>
            <w:tcW w:type="dxa" w:w="2880"/>
          </w:tcPr>
          <w:p>
            <w:r>
              <w:rPr>
                <w:rFonts w:ascii="Times New Roman" w:hAnsi="Times New Roman"/>
                <w:sz w:val="22"/>
              </w:rPr>
              <w:t>0.8234</w:t>
            </w:r>
          </w:p>
        </w:tc>
      </w:tr>
      <w:tr>
        <w:tc>
          <w:tcPr>
            <w:tcW w:type="dxa" w:w="2880"/>
          </w:tcPr>
          <w:p>
            <w:r>
              <w:rPr>
                <w:rFonts w:ascii="Times New Roman" w:hAnsi="Times New Roman"/>
                <w:sz w:val="22"/>
              </w:rPr>
              <w:t>Validation Accuracy</w:t>
            </w:r>
          </w:p>
        </w:tc>
        <w:tc>
          <w:tcPr>
            <w:tcW w:type="dxa" w:w="2880"/>
          </w:tcPr>
          <w:p>
            <w:r>
              <w:rPr>
                <w:rFonts w:ascii="Times New Roman" w:hAnsi="Times New Roman"/>
                <w:sz w:val="22"/>
              </w:rPr>
              <w:t>76.76%</w:t>
            </w:r>
          </w:p>
        </w:tc>
        <w:tc>
          <w:tcPr>
            <w:tcW w:type="dxa" w:w="2880"/>
          </w:tcPr>
          <w:p>
            <w:r>
              <w:rPr>
                <w:rFonts w:ascii="Times New Roman" w:hAnsi="Times New Roman"/>
                <w:sz w:val="22"/>
              </w:rPr>
              <w:t>96.48%</w:t>
            </w:r>
          </w:p>
        </w:tc>
      </w:tr>
      <w:tr>
        <w:tc>
          <w:tcPr>
            <w:tcW w:type="dxa" w:w="2880"/>
          </w:tcPr>
          <w:p>
            <w:r>
              <w:rPr>
                <w:rFonts w:ascii="Times New Roman" w:hAnsi="Times New Roman"/>
                <w:sz w:val="22"/>
              </w:rPr>
              <w:t>Validation Macro F1</w:t>
            </w:r>
          </w:p>
        </w:tc>
        <w:tc>
          <w:tcPr>
            <w:tcW w:type="dxa" w:w="2880"/>
          </w:tcPr>
          <w:p>
            <w:r>
              <w:rPr>
                <w:rFonts w:ascii="Times New Roman" w:hAnsi="Times New Roman"/>
                <w:sz w:val="22"/>
              </w:rPr>
              <w:t>45.59%</w:t>
            </w:r>
          </w:p>
        </w:tc>
        <w:tc>
          <w:tcPr>
            <w:tcW w:type="dxa" w:w="2880"/>
          </w:tcPr>
          <w:p>
            <w:r>
              <w:rPr>
                <w:rFonts w:ascii="Times New Roman" w:hAnsi="Times New Roman"/>
                <w:sz w:val="22"/>
              </w:rPr>
              <w:t>63.38%</w:t>
            </w:r>
          </w:p>
        </w:tc>
      </w:tr>
    </w:tbl>
    <w:p/>
    <w:p>
      <w:pPr>
        <w:jc w:val="center"/>
      </w:pPr>
      <w:r>
        <w:drawing>
          <wp:inline xmlns:a="http://schemas.openxmlformats.org/drawingml/2006/main" xmlns:pic="http://schemas.openxmlformats.org/drawingml/2006/picture">
            <wp:extent cx="4389120" cy="2423743"/>
            <wp:docPr id="15" name="Picture 15"/>
            <wp:cNvGraphicFramePr>
              <a:graphicFrameLocks noChangeAspect="1"/>
            </wp:cNvGraphicFramePr>
            <a:graphic>
              <a:graphicData uri="http://schemas.openxmlformats.org/drawingml/2006/picture">
                <pic:pic>
                  <pic:nvPicPr>
                    <pic:cNvPr id="0" name="sputum_train_loss.png"/>
                    <pic:cNvPicPr/>
                  </pic:nvPicPr>
                  <pic:blipFill>
                    <a:blip r:embed="rId21"/>
                    <a:stretch>
                      <a:fillRect/>
                    </a:stretch>
                  </pic:blipFill>
                  <pic:spPr>
                    <a:xfrm>
                      <a:off x="0" y="0"/>
                      <a:ext cx="4389120" cy="2423743"/>
                    </a:xfrm>
                    <a:prstGeom prst="rect"/>
                  </pic:spPr>
                </pic:pic>
              </a:graphicData>
            </a:graphic>
          </wp:inline>
        </w:drawing>
      </w:r>
    </w:p>
    <w:p>
      <w:pPr>
        <w:jc w:val="center"/>
      </w:pPr>
      <w:r>
        <w:rPr>
          <w:rFonts w:ascii="Times New Roman" w:hAnsi="Times New Roman"/>
          <w:b/>
          <w:sz w:val="24"/>
        </w:rPr>
        <w:t>Figure 6.3.2. Sputum ResNet18 Training Loss Curve</w:t>
      </w:r>
    </w:p>
    <w:p>
      <w:pPr>
        <w:jc w:val="center"/>
      </w:pPr>
      <w:r>
        <w:drawing>
          <wp:inline xmlns:a="http://schemas.openxmlformats.org/drawingml/2006/main" xmlns:pic="http://schemas.openxmlformats.org/drawingml/2006/picture">
            <wp:extent cx="4389120" cy="2423743"/>
            <wp:docPr id="16" name="Picture 16"/>
            <wp:cNvGraphicFramePr>
              <a:graphicFrameLocks noChangeAspect="1"/>
            </wp:cNvGraphicFramePr>
            <a:graphic>
              <a:graphicData uri="http://schemas.openxmlformats.org/drawingml/2006/picture">
                <pic:pic>
                  <pic:nvPicPr>
                    <pic:cNvPr id="0" name="sputum_val_f1_macro.png"/>
                    <pic:cNvPicPr/>
                  </pic:nvPicPr>
                  <pic:blipFill>
                    <a:blip r:embed="rId22"/>
                    <a:stretch>
                      <a:fillRect/>
                    </a:stretch>
                  </pic:blipFill>
                  <pic:spPr>
                    <a:xfrm>
                      <a:off x="0" y="0"/>
                      <a:ext cx="4389120" cy="2423743"/>
                    </a:xfrm>
                    <a:prstGeom prst="rect"/>
                  </pic:spPr>
                </pic:pic>
              </a:graphicData>
            </a:graphic>
          </wp:inline>
        </w:drawing>
      </w:r>
    </w:p>
    <w:p>
      <w:pPr>
        <w:jc w:val="center"/>
      </w:pPr>
      <w:r>
        <w:rPr>
          <w:rFonts w:ascii="Times New Roman" w:hAnsi="Times New Roman"/>
          <w:b/>
          <w:sz w:val="24"/>
        </w:rPr>
        <w:t>Figure 6.3.3. Sputum ResNet18 Validation Macro F1 Curve</w:t>
      </w:r>
    </w:p>
    <w:p>
      <w:pPr>
        <w:pStyle w:val="Heading3"/>
      </w:pPr>
      <w:r>
        <w:t>6.3.4 Accuracy and Macro F1 Results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Evaluation Metric</w:t>
            </w:r>
          </w:p>
        </w:tc>
        <w:tc>
          <w:tcPr>
            <w:tcW w:type="dxa" w:w="4320"/>
          </w:tcPr>
          <w:p>
            <w:r>
              <w:rPr>
                <w:rFonts w:ascii="Times New Roman" w:hAnsi="Times New Roman"/>
                <w:b/>
                <w:sz w:val="22"/>
              </w:rPr>
              <w:t>Result</w:t>
            </w:r>
          </w:p>
        </w:tc>
      </w:tr>
      <w:tr>
        <w:tc>
          <w:tcPr>
            <w:tcW w:type="dxa" w:w="4320"/>
          </w:tcPr>
          <w:p>
            <w:r>
              <w:rPr>
                <w:rFonts w:ascii="Times New Roman" w:hAnsi="Times New Roman"/>
                <w:sz w:val="22"/>
              </w:rPr>
              <w:t>Test Accuracy</w:t>
            </w:r>
          </w:p>
        </w:tc>
        <w:tc>
          <w:tcPr>
            <w:tcW w:type="dxa" w:w="4320"/>
          </w:tcPr>
          <w:p>
            <w:r>
              <w:rPr>
                <w:rFonts w:ascii="Times New Roman" w:hAnsi="Times New Roman"/>
                <w:sz w:val="22"/>
              </w:rPr>
              <w:t>94.91%</w:t>
            </w:r>
          </w:p>
        </w:tc>
      </w:tr>
      <w:tr>
        <w:tc>
          <w:tcPr>
            <w:tcW w:type="dxa" w:w="4320"/>
          </w:tcPr>
          <w:p>
            <w:r>
              <w:rPr>
                <w:rFonts w:ascii="Times New Roman" w:hAnsi="Times New Roman"/>
                <w:sz w:val="22"/>
              </w:rPr>
              <w:t>Macro F1-Score</w:t>
            </w:r>
          </w:p>
        </w:tc>
        <w:tc>
          <w:tcPr>
            <w:tcW w:type="dxa" w:w="4320"/>
          </w:tcPr>
          <w:p>
            <w:r>
              <w:rPr>
                <w:rFonts w:ascii="Times New Roman" w:hAnsi="Times New Roman"/>
                <w:sz w:val="22"/>
              </w:rPr>
              <w:t>66.32%</w:t>
            </w:r>
          </w:p>
        </w:tc>
      </w:tr>
      <w:tr>
        <w:tc>
          <w:tcPr>
            <w:tcW w:type="dxa" w:w="4320"/>
          </w:tcPr>
          <w:p>
            <w:r>
              <w:rPr>
                <w:rFonts w:ascii="Times New Roman" w:hAnsi="Times New Roman"/>
                <w:sz w:val="22"/>
              </w:rPr>
              <w:t>AFB+ Sensitivity</w:t>
            </w:r>
          </w:p>
        </w:tc>
        <w:tc>
          <w:tcPr>
            <w:tcW w:type="dxa" w:w="4320"/>
          </w:tcPr>
          <w:p>
            <w:r>
              <w:rPr>
                <w:rFonts w:ascii="Times New Roman" w:hAnsi="Times New Roman"/>
                <w:sz w:val="22"/>
              </w:rPr>
              <w:t>96.19%</w:t>
            </w:r>
          </w:p>
        </w:tc>
      </w:tr>
      <w:tr>
        <w:tc>
          <w:tcPr>
            <w:tcW w:type="dxa" w:w="4320"/>
          </w:tcPr>
          <w:p>
            <w:r>
              <w:rPr>
                <w:rFonts w:ascii="Times New Roman" w:hAnsi="Times New Roman"/>
                <w:sz w:val="22"/>
              </w:rPr>
              <w:t>AFB− Specificity</w:t>
            </w:r>
          </w:p>
        </w:tc>
        <w:tc>
          <w:tcPr>
            <w:tcW w:type="dxa" w:w="4320"/>
          </w:tcPr>
          <w:p>
            <w:r>
              <w:rPr>
                <w:rFonts w:ascii="Times New Roman" w:hAnsi="Times New Roman"/>
                <w:sz w:val="22"/>
              </w:rPr>
              <w:t>50.00%</w:t>
            </w:r>
          </w:p>
        </w:tc>
      </w:tr>
      <w:tr>
        <w:tc>
          <w:tcPr>
            <w:tcW w:type="dxa" w:w="4320"/>
          </w:tcPr>
          <w:p>
            <w:r>
              <w:rPr>
                <w:rFonts w:ascii="Times New Roman" w:hAnsi="Times New Roman"/>
                <w:sz w:val="22"/>
              </w:rPr>
              <w:t>Decision Threshold</w:t>
            </w:r>
          </w:p>
        </w:tc>
        <w:tc>
          <w:tcPr>
            <w:tcW w:type="dxa" w:w="4320"/>
          </w:tcPr>
          <w:p>
            <w:r>
              <w:rPr>
                <w:rFonts w:ascii="Times New Roman" w:hAnsi="Times New Roman"/>
                <w:sz w:val="22"/>
              </w:rPr>
              <w:t>0.63</w:t>
            </w:r>
          </w:p>
        </w:tc>
      </w:tr>
    </w:tbl>
    <w:p/>
    <w:p>
      <w:pPr>
        <w:pStyle w:val="Heading3"/>
      </w:pPr>
      <w:r>
        <w:t>6.3.5 Per-Class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2"/>
              </w:rPr>
              <w:t>Class</w:t>
            </w:r>
          </w:p>
        </w:tc>
        <w:tc>
          <w:tcPr>
            <w:tcW w:type="dxa" w:w="1728"/>
          </w:tcPr>
          <w:p>
            <w:r>
              <w:rPr>
                <w:rFonts w:ascii="Times New Roman" w:hAnsi="Times New Roman"/>
                <w:b/>
                <w:sz w:val="22"/>
              </w:rPr>
              <w:t>Precision</w:t>
            </w:r>
          </w:p>
        </w:tc>
        <w:tc>
          <w:tcPr>
            <w:tcW w:type="dxa" w:w="1728"/>
          </w:tcPr>
          <w:p>
            <w:r>
              <w:rPr>
                <w:rFonts w:ascii="Times New Roman" w:hAnsi="Times New Roman"/>
                <w:b/>
                <w:sz w:val="22"/>
              </w:rPr>
              <w:t>Recall</w:t>
            </w:r>
          </w:p>
        </w:tc>
        <w:tc>
          <w:tcPr>
            <w:tcW w:type="dxa" w:w="1728"/>
          </w:tcPr>
          <w:p>
            <w:r>
              <w:rPr>
                <w:rFonts w:ascii="Times New Roman" w:hAnsi="Times New Roman"/>
                <w:b/>
                <w:sz w:val="22"/>
              </w:rPr>
              <w:t>F1-Score</w:t>
            </w:r>
          </w:p>
        </w:tc>
        <w:tc>
          <w:tcPr>
            <w:tcW w:type="dxa" w:w="1728"/>
          </w:tcPr>
          <w:p>
            <w:r>
              <w:rPr>
                <w:rFonts w:ascii="Times New Roman" w:hAnsi="Times New Roman"/>
                <w:b/>
                <w:sz w:val="22"/>
              </w:rPr>
              <w:t>Support</w:t>
            </w:r>
          </w:p>
        </w:tc>
      </w:tr>
      <w:tr>
        <w:tc>
          <w:tcPr>
            <w:tcW w:type="dxa" w:w="1728"/>
          </w:tcPr>
          <w:p>
            <w:r>
              <w:rPr>
                <w:rFonts w:ascii="Times New Roman" w:hAnsi="Times New Roman"/>
                <w:sz w:val="22"/>
              </w:rPr>
              <w:t>AFB-negative</w:t>
            </w:r>
          </w:p>
        </w:tc>
        <w:tc>
          <w:tcPr>
            <w:tcW w:type="dxa" w:w="1728"/>
          </w:tcPr>
          <w:p>
            <w:r>
              <w:rPr>
                <w:rFonts w:ascii="Times New Roman" w:hAnsi="Times New Roman"/>
                <w:sz w:val="22"/>
              </w:rPr>
              <w:t>27.27%</w:t>
            </w:r>
          </w:p>
        </w:tc>
        <w:tc>
          <w:tcPr>
            <w:tcW w:type="dxa" w:w="1728"/>
          </w:tcPr>
          <w:p>
            <w:r>
              <w:rPr>
                <w:rFonts w:ascii="Times New Roman" w:hAnsi="Times New Roman"/>
                <w:sz w:val="22"/>
              </w:rPr>
              <w:t>50.00%</w:t>
            </w:r>
          </w:p>
        </w:tc>
        <w:tc>
          <w:tcPr>
            <w:tcW w:type="dxa" w:w="1728"/>
          </w:tcPr>
          <w:p>
            <w:r>
              <w:rPr>
                <w:rFonts w:ascii="Times New Roman" w:hAnsi="Times New Roman"/>
                <w:sz w:val="22"/>
              </w:rPr>
              <w:t>35.29%</w:t>
            </w:r>
          </w:p>
        </w:tc>
        <w:tc>
          <w:tcPr>
            <w:tcW w:type="dxa" w:w="1728"/>
          </w:tcPr>
          <w:p>
            <w:r>
              <w:rPr>
                <w:rFonts w:ascii="Times New Roman" w:hAnsi="Times New Roman"/>
                <w:sz w:val="22"/>
              </w:rPr>
              <w:t>6</w:t>
            </w:r>
          </w:p>
        </w:tc>
      </w:tr>
      <w:tr>
        <w:tc>
          <w:tcPr>
            <w:tcW w:type="dxa" w:w="1728"/>
          </w:tcPr>
          <w:p>
            <w:r>
              <w:rPr>
                <w:rFonts w:ascii="Times New Roman" w:hAnsi="Times New Roman"/>
                <w:sz w:val="22"/>
              </w:rPr>
              <w:t>AFB-positive</w:t>
            </w:r>
          </w:p>
        </w:tc>
        <w:tc>
          <w:tcPr>
            <w:tcW w:type="dxa" w:w="1728"/>
          </w:tcPr>
          <w:p>
            <w:r>
              <w:rPr>
                <w:rFonts w:ascii="Times New Roman" w:hAnsi="Times New Roman"/>
                <w:sz w:val="22"/>
              </w:rPr>
              <w:t>98.54%</w:t>
            </w:r>
          </w:p>
        </w:tc>
        <w:tc>
          <w:tcPr>
            <w:tcW w:type="dxa" w:w="1728"/>
          </w:tcPr>
          <w:p>
            <w:r>
              <w:rPr>
                <w:rFonts w:ascii="Times New Roman" w:hAnsi="Times New Roman"/>
                <w:sz w:val="22"/>
              </w:rPr>
              <w:t>96.19%</w:t>
            </w:r>
          </w:p>
        </w:tc>
        <w:tc>
          <w:tcPr>
            <w:tcW w:type="dxa" w:w="1728"/>
          </w:tcPr>
          <w:p>
            <w:r>
              <w:rPr>
                <w:rFonts w:ascii="Times New Roman" w:hAnsi="Times New Roman"/>
                <w:sz w:val="22"/>
              </w:rPr>
              <w:t>97.11%</w:t>
            </w:r>
          </w:p>
        </w:tc>
        <w:tc>
          <w:tcPr>
            <w:tcW w:type="dxa" w:w="1728"/>
          </w:tcPr>
          <w:p>
            <w:r>
              <w:rPr>
                <w:rFonts w:ascii="Times New Roman" w:hAnsi="Times New Roman"/>
                <w:sz w:val="22"/>
              </w:rPr>
              <w:t>210</w:t>
            </w:r>
          </w:p>
        </w:tc>
      </w:tr>
    </w:tbl>
    <w:p/>
    <w:p>
      <w:pPr>
        <w:pStyle w:val="Heading3"/>
      </w:pPr>
      <w:r>
        <w:t>6.3.6 Confusion Matrix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r>
          </w:p>
        </w:tc>
        <w:tc>
          <w:tcPr>
            <w:tcW w:type="dxa" w:w="2880"/>
          </w:tcPr>
          <w:p>
            <w:r>
              <w:rPr>
                <w:rFonts w:ascii="Times New Roman" w:hAnsi="Times New Roman"/>
                <w:b/>
                <w:sz w:val="22"/>
              </w:rPr>
              <w:t>Predicted AFB−</w:t>
            </w:r>
          </w:p>
        </w:tc>
        <w:tc>
          <w:tcPr>
            <w:tcW w:type="dxa" w:w="2880"/>
          </w:tcPr>
          <w:p>
            <w:r>
              <w:rPr>
                <w:rFonts w:ascii="Times New Roman" w:hAnsi="Times New Roman"/>
                <w:b/>
                <w:sz w:val="22"/>
              </w:rPr>
              <w:t>Predicted AFB+</w:t>
            </w:r>
          </w:p>
        </w:tc>
      </w:tr>
      <w:tr>
        <w:tc>
          <w:tcPr>
            <w:tcW w:type="dxa" w:w="2880"/>
          </w:tcPr>
          <w:p>
            <w:r>
              <w:rPr>
                <w:rFonts w:ascii="Times New Roman" w:hAnsi="Times New Roman"/>
                <w:sz w:val="22"/>
              </w:rPr>
              <w:t>Actual AFB−</w:t>
            </w:r>
          </w:p>
        </w:tc>
        <w:tc>
          <w:tcPr>
            <w:tcW w:type="dxa" w:w="2880"/>
          </w:tcPr>
          <w:p>
            <w:r>
              <w:rPr>
                <w:rFonts w:ascii="Times New Roman" w:hAnsi="Times New Roman"/>
                <w:sz w:val="22"/>
              </w:rPr>
              <w:t>3 (TN)</w:t>
            </w:r>
          </w:p>
        </w:tc>
        <w:tc>
          <w:tcPr>
            <w:tcW w:type="dxa" w:w="2880"/>
          </w:tcPr>
          <w:p>
            <w:r>
              <w:rPr>
                <w:rFonts w:ascii="Times New Roman" w:hAnsi="Times New Roman"/>
                <w:sz w:val="22"/>
              </w:rPr>
              <w:t>3 (FP)</w:t>
            </w:r>
          </w:p>
        </w:tc>
      </w:tr>
      <w:tr>
        <w:tc>
          <w:tcPr>
            <w:tcW w:type="dxa" w:w="2880"/>
          </w:tcPr>
          <w:p>
            <w:r>
              <w:rPr>
                <w:rFonts w:ascii="Times New Roman" w:hAnsi="Times New Roman"/>
                <w:sz w:val="22"/>
              </w:rPr>
              <w:t>Actual AFB+</w:t>
            </w:r>
          </w:p>
        </w:tc>
        <w:tc>
          <w:tcPr>
            <w:tcW w:type="dxa" w:w="2880"/>
          </w:tcPr>
          <w:p>
            <w:r>
              <w:rPr>
                <w:rFonts w:ascii="Times New Roman" w:hAnsi="Times New Roman"/>
                <w:sz w:val="22"/>
              </w:rPr>
              <w:t>8 (FN)</w:t>
            </w:r>
          </w:p>
        </w:tc>
        <w:tc>
          <w:tcPr>
            <w:tcW w:type="dxa" w:w="2880"/>
          </w:tcPr>
          <w:p>
            <w:r>
              <w:rPr>
                <w:rFonts w:ascii="Times New Roman" w:hAnsi="Times New Roman"/>
                <w:sz w:val="22"/>
              </w:rPr>
              <w:t>202 (TP)</w:t>
            </w:r>
          </w:p>
        </w:tc>
      </w:tr>
    </w:tbl>
    <w:p/>
    <w:p>
      <w:pPr>
        <w:jc w:val="center"/>
      </w:pPr>
      <w:r>
        <w:drawing>
          <wp:inline xmlns:a="http://schemas.openxmlformats.org/drawingml/2006/main" xmlns:pic="http://schemas.openxmlformats.org/drawingml/2006/picture">
            <wp:extent cx="2926080" cy="2600960"/>
            <wp:docPr id="17" name="Picture 17"/>
            <wp:cNvGraphicFramePr>
              <a:graphicFrameLocks noChangeAspect="1"/>
            </wp:cNvGraphicFramePr>
            <a:graphic>
              <a:graphicData uri="http://schemas.openxmlformats.org/drawingml/2006/picture">
                <pic:pic>
                  <pic:nvPicPr>
                    <pic:cNvPr id="0" name="sputum_confusion_matrix.png"/>
                    <pic:cNvPicPr/>
                  </pic:nvPicPr>
                  <pic:blipFill>
                    <a:blip r:embed="rId23"/>
                    <a:stretch>
                      <a:fillRect/>
                    </a:stretch>
                  </pic:blipFill>
                  <pic:spPr>
                    <a:xfrm>
                      <a:off x="0" y="0"/>
                      <a:ext cx="2926080" cy="2600960"/>
                    </a:xfrm>
                    <a:prstGeom prst="rect"/>
                  </pic:spPr>
                </pic:pic>
              </a:graphicData>
            </a:graphic>
          </wp:inline>
        </w:drawing>
      </w:r>
    </w:p>
    <w:p>
      <w:pPr>
        <w:jc w:val="center"/>
      </w:pPr>
      <w:r>
        <w:rPr>
          <w:rFonts w:ascii="Times New Roman" w:hAnsi="Times New Roman"/>
          <w:b/>
          <w:sz w:val="24"/>
        </w:rPr>
        <w:t>Figure 6.3.4. Sputum AFB Binary Classifier Confusion Matrix</w:t>
      </w:r>
    </w:p>
    <w:p>
      <w:r>
        <w:rPr>
          <w:rFonts w:ascii="Times New Roman" w:hAnsi="Times New Roman"/>
          <w:sz w:val="24"/>
        </w:rPr>
        <w:t>Strong AFB-positive sensitivity supports preliminary triage; specificity estimates remain limited by the small AFB-negative test set (n = 6).</w:t>
      </w:r>
    </w:p>
    <w:p>
      <w:pPr>
        <w:pStyle w:val="Heading2"/>
      </w:pPr>
      <w:r>
        <w:t>6.4 Classification Response Time Results</w:t>
      </w:r>
    </w:p>
    <w:p>
      <w:r>
        <w:rPr>
          <w:rFonts w:ascii="Times New Roman" w:hAnsi="Times New Roman"/>
          <w:sz w:val="24"/>
        </w:rPr>
        <w:t>Classification response time was evaluated against the UAT criterion of five (5) seconds per inference call. During UAT, evaluators rated cough and sputum classification speed (Items 8–9) and overall ML/cloud connectivity (Item 11). Four of six evaluators rated cough and sputum inference at Agree or Strongly Agree for the ≤5-second target under stable booth Wi-Fi. Three evaluators noted occasional delays exceeding five seconds when network connectivity was unstable, consistent with Item 20 (handling of unstable network conditions, weighted mean 3.83 across evaluators).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ML Endpoint</w:t>
            </w:r>
          </w:p>
        </w:tc>
        <w:tc>
          <w:tcPr>
            <w:tcW w:type="dxa" w:w="2880"/>
          </w:tcPr>
          <w:p>
            <w:r>
              <w:rPr>
                <w:rFonts w:ascii="Times New Roman" w:hAnsi="Times New Roman"/>
                <w:b/>
                <w:sz w:val="22"/>
              </w:rPr>
              <w:t>Target</w:t>
            </w:r>
          </w:p>
        </w:tc>
        <w:tc>
          <w:tcPr>
            <w:tcW w:type="dxa" w:w="2880"/>
          </w:tcPr>
          <w:p>
            <w:r>
              <w:rPr>
                <w:rFonts w:ascii="Times New Roman" w:hAnsi="Times New Roman"/>
                <w:b/>
                <w:sz w:val="22"/>
              </w:rPr>
              <w:t>Observed Result (UAT-aligned)</w:t>
            </w:r>
          </w:p>
        </w:tc>
      </w:tr>
      <w:tr>
        <w:tc>
          <w:tcPr>
            <w:tcW w:type="dxa" w:w="2880"/>
          </w:tcPr>
          <w:p>
            <w:r>
              <w:rPr>
                <w:rFonts w:ascii="Times New Roman" w:hAnsi="Times New Roman"/>
                <w:sz w:val="22"/>
              </w:rPr>
              <w:t>POST /check-quality</w:t>
            </w:r>
          </w:p>
        </w:tc>
        <w:tc>
          <w:tcPr>
            <w:tcW w:type="dxa" w:w="2880"/>
          </w:tcPr>
          <w:p>
            <w:r>
              <w:rPr>
                <w:rFonts w:ascii="Times New Roman" w:hAnsi="Times New Roman"/>
                <w:sz w:val="22"/>
              </w:rPr>
              <w:t>≤ 5 seconds</w:t>
            </w:r>
          </w:p>
        </w:tc>
        <w:tc>
          <w:tcPr>
            <w:tcW w:type="dxa" w:w="2880"/>
          </w:tcPr>
          <w:p>
            <w:r>
              <w:rPr>
                <w:rFonts w:ascii="Times New Roman" w:hAnsi="Times New Roman"/>
                <w:sz w:val="22"/>
              </w:rPr>
              <w:t>Met under stable connectivity</w:t>
            </w:r>
          </w:p>
        </w:tc>
      </w:tr>
      <w:tr>
        <w:tc>
          <w:tcPr>
            <w:tcW w:type="dxa" w:w="2880"/>
          </w:tcPr>
          <w:p>
            <w:r>
              <w:rPr>
                <w:rFonts w:ascii="Times New Roman" w:hAnsi="Times New Roman"/>
                <w:sz w:val="22"/>
              </w:rPr>
              <w:t>POST /predict (cough)</w:t>
            </w:r>
          </w:p>
        </w:tc>
        <w:tc>
          <w:tcPr>
            <w:tcW w:type="dxa" w:w="2880"/>
          </w:tcPr>
          <w:p>
            <w:r>
              <w:rPr>
                <w:rFonts w:ascii="Times New Roman" w:hAnsi="Times New Roman"/>
                <w:sz w:val="22"/>
              </w:rPr>
              <w:t>≤ 5 seconds</w:t>
            </w:r>
          </w:p>
        </w:tc>
        <w:tc>
          <w:tcPr>
            <w:tcW w:type="dxa" w:w="2880"/>
          </w:tcPr>
          <w:p>
            <w:r>
              <w:rPr>
                <w:rFonts w:ascii="Times New Roman" w:hAnsi="Times New Roman"/>
                <w:sz w:val="22"/>
              </w:rPr>
              <w:t>Mostly met; occasional delay on unstable network</w:t>
            </w:r>
          </w:p>
        </w:tc>
      </w:tr>
      <w:tr>
        <w:tc>
          <w:tcPr>
            <w:tcW w:type="dxa" w:w="2880"/>
          </w:tcPr>
          <w:p>
            <w:r>
              <w:rPr>
                <w:rFonts w:ascii="Times New Roman" w:hAnsi="Times New Roman"/>
                <w:sz w:val="22"/>
              </w:rPr>
              <w:t>POST /predict-phlegm (sputum)</w:t>
            </w:r>
          </w:p>
        </w:tc>
        <w:tc>
          <w:tcPr>
            <w:tcW w:type="dxa" w:w="2880"/>
          </w:tcPr>
          <w:p>
            <w:r>
              <w:rPr>
                <w:rFonts w:ascii="Times New Roman" w:hAnsi="Times New Roman"/>
                <w:sz w:val="22"/>
              </w:rPr>
              <w:t>≤ 5 seconds</w:t>
            </w:r>
          </w:p>
        </w:tc>
        <w:tc>
          <w:tcPr>
            <w:tcW w:type="dxa" w:w="2880"/>
          </w:tcPr>
          <w:p>
            <w:r>
              <w:rPr>
                <w:rFonts w:ascii="Times New Roman" w:hAnsi="Times New Roman"/>
                <w:sz w:val="22"/>
              </w:rPr>
              <w:t>Mostly met; occasional delay on unstable network</w:t>
            </w:r>
          </w:p>
        </w:tc>
      </w:tr>
    </w:tbl>
    <w:p/>
    <w:p>
      <w:pPr>
        <w:pStyle w:val="Heading2"/>
      </w:pPr>
      <w:r>
        <w:t>6.5 Multimodal Risk Fusion and Application Output Results</w:t>
      </w:r>
    </w:p>
    <w:p>
      <w:r>
        <w:rPr>
          <w:rFonts w:ascii="Times New Roman" w:hAnsi="Times New Roman"/>
          <w:sz w:val="24"/>
        </w:rPr>
        <w:t>The risk fusion module combined checklist probability, mean cough ML probability, and sputum ML probability through weighted log-odds integration with clinical safety floors. The system generated Low, Moderate, or High triage outputs with disclaimers, referral-oriented guidance, and persisted session records retrievable through screening history. Figure 6.5.1 illustrates the fusion logic (checklist + cough + sputum → fused risk); Figure 6.5.2 shows the corresponding triage result output in the mobile application.</w:t>
      </w:r>
    </w:p>
    <w:p>
      <w:pPr>
        <w:jc w:val="center"/>
      </w:pPr>
      <w:r>
        <w:drawing>
          <wp:inline xmlns:a="http://schemas.openxmlformats.org/drawingml/2006/main" xmlns:pic="http://schemas.openxmlformats.org/drawingml/2006/picture">
            <wp:extent cx="5303520" cy="2692789"/>
            <wp:docPr id="18" name="Picture 18"/>
            <wp:cNvGraphicFramePr>
              <a:graphicFrameLocks noChangeAspect="1"/>
            </wp:cNvGraphicFramePr>
            <a:graphic>
              <a:graphicData uri="http://schemas.openxmlformats.org/drawingml/2006/picture">
                <pic:pic>
                  <pic:nvPicPr>
                    <pic:cNvPr id="0" name="fusion_diagram_checklist_cough_sputum.png"/>
                    <pic:cNvPicPr/>
                  </pic:nvPicPr>
                  <pic:blipFill>
                    <a:blip r:embed="rId24"/>
                    <a:stretch>
                      <a:fillRect/>
                    </a:stretch>
                  </pic:blipFill>
                  <pic:spPr>
                    <a:xfrm>
                      <a:off x="0" y="0"/>
                      <a:ext cx="5303520" cy="2692789"/>
                    </a:xfrm>
                    <a:prstGeom prst="rect"/>
                  </pic:spPr>
                </pic:pic>
              </a:graphicData>
            </a:graphic>
          </wp:inline>
        </w:drawing>
      </w:r>
    </w:p>
    <w:p>
      <w:pPr>
        <w:jc w:val="center"/>
      </w:pPr>
      <w:r>
        <w:rPr>
          <w:rFonts w:ascii="Times New Roman" w:hAnsi="Times New Roman"/>
          <w:b/>
          <w:sz w:val="24"/>
        </w:rPr>
        <w:t>Figure 6.5.1. Multimodal Fusion Diagram (Checklist + Cough + Sputum → Fused Risk)</w:t>
      </w:r>
    </w:p>
    <w:p>
      <w:pPr>
        <w:jc w:val="center"/>
      </w:pPr>
      <w:r>
        <w:drawing>
          <wp:inline xmlns:a="http://schemas.openxmlformats.org/drawingml/2006/main" xmlns:pic="http://schemas.openxmlformats.org/drawingml/2006/picture">
            <wp:extent cx="3840480" cy="4142606"/>
            <wp:docPr id="19" name="Picture 19"/>
            <wp:cNvGraphicFramePr>
              <a:graphicFrameLocks noChangeAspect="1"/>
            </wp:cNvGraphicFramePr>
            <a:graphic>
              <a:graphicData uri="http://schemas.openxmlformats.org/drawingml/2006/picture">
                <pic:pic>
                  <pic:nvPicPr>
                    <pic:cNvPr id="0" name="multimodal_fusion_result_mockup.png"/>
                    <pic:cNvPicPr/>
                  </pic:nvPicPr>
                  <pic:blipFill>
                    <a:blip r:embed="rId25"/>
                    <a:stretch>
                      <a:fillRect/>
                    </a:stretch>
                  </pic:blipFill>
                  <pic:spPr>
                    <a:xfrm>
                      <a:off x="0" y="0"/>
                      <a:ext cx="3840480" cy="4142606"/>
                    </a:xfrm>
                    <a:prstGeom prst="rect"/>
                  </pic:spPr>
                </pic:pic>
              </a:graphicData>
            </a:graphic>
          </wp:inline>
        </w:drawing>
      </w:r>
    </w:p>
    <w:p>
      <w:pPr>
        <w:jc w:val="center"/>
      </w:pPr>
      <w:r>
        <w:rPr>
          <w:rFonts w:ascii="Times New Roman" w:hAnsi="Times New Roman"/>
          <w:b/>
          <w:sz w:val="24"/>
        </w:rPr>
        <w:t>Figure 6.5.2. Sample Multimodal Fusion and Triage Result Output</w:t>
      </w:r>
    </w:p>
    <w:p>
      <w:pPr>
        <w:pStyle w:val="Heading2"/>
      </w:pPr>
      <w:r>
        <w:t>6.6 User Acceptance Testing Results</w:t>
      </w:r>
    </w:p>
    <w:p>
      <w:r>
        <w:rPr>
          <w:rFonts w:ascii="Times New Roman" w:hAnsi="Times New Roman"/>
          <w:sz w:val="24"/>
        </w:rPr>
        <w:t>The proposed TBhon mobile application underwent user acceptance testing procedures involving community health workers, nurses, nursing students, a medical laboratory science student, and IT experts. TBhon v1.2 (Prototype / Field Evaluation Build) was evaluated in terms of usability, accessibility, responsiveness, functionality, and deployment practicality within TB pre-screening booth environments. Six evaluators completed the structured instrument (Appendix H) between June 14 and June 17, 2026. Each respondent performed six predefined screening tasks—staff login, client intake, symptom checklist, cough capture, sputum capture, ML review, fused result disclosure, and history/disclaimer verification—before completing the twenty-four-item ISO/IEC 25010–aligned rating form.</w:t>
      </w:r>
    </w:p>
    <w:p>
      <w:r>
        <w:rPr>
          <w:rFonts w:ascii="Times New Roman" w:hAnsi="Times New Roman"/>
          <w:sz w:val="24"/>
        </w:rPr>
        <w:t>Table 6.6.1. UAT Participant Profile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2"/>
              </w:rPr>
              <w:t>Evaluator</w:t>
            </w:r>
          </w:p>
        </w:tc>
        <w:tc>
          <w:tcPr>
            <w:tcW w:type="dxa" w:w="1440"/>
          </w:tcPr>
          <w:p>
            <w:r>
              <w:rPr>
                <w:rFonts w:ascii="Times New Roman" w:hAnsi="Times New Roman"/>
                <w:b/>
                <w:sz w:val="22"/>
              </w:rPr>
              <w:t>Role</w:t>
            </w:r>
          </w:p>
        </w:tc>
        <w:tc>
          <w:tcPr>
            <w:tcW w:type="dxa" w:w="1440"/>
          </w:tcPr>
          <w:p>
            <w:r>
              <w:rPr>
                <w:rFonts w:ascii="Times New Roman" w:hAnsi="Times New Roman"/>
                <w:b/>
                <w:sz w:val="22"/>
              </w:rPr>
              <w:t>Organization</w:t>
            </w:r>
          </w:p>
        </w:tc>
        <w:tc>
          <w:tcPr>
            <w:tcW w:type="dxa" w:w="1440"/>
          </w:tcPr>
          <w:p>
            <w:r>
              <w:rPr>
                <w:rFonts w:ascii="Times New Roman" w:hAnsi="Times New Roman"/>
                <w:b/>
                <w:sz w:val="22"/>
              </w:rPr>
              <w:t>Date</w:t>
            </w:r>
          </w:p>
        </w:tc>
        <w:tc>
          <w:tcPr>
            <w:tcW w:type="dxa" w:w="1440"/>
          </w:tcPr>
          <w:p>
            <w:r>
              <w:rPr>
                <w:rFonts w:ascii="Times New Roman" w:hAnsi="Times New Roman"/>
                <w:b/>
                <w:sz w:val="22"/>
              </w:rPr>
              <w:t>Overall Rating</w:t>
            </w:r>
          </w:p>
        </w:tc>
        <w:tc>
          <w:tcPr>
            <w:tcW w:type="dxa" w:w="1440"/>
          </w:tcPr>
          <w:p>
            <w:r>
              <w:rPr>
                <w:rFonts w:ascii="Times New Roman" w:hAnsi="Times New Roman"/>
                <w:b/>
                <w:sz w:val="22"/>
              </w:rPr>
              <w:t>Mean (24 items)</w:t>
            </w:r>
          </w:p>
        </w:tc>
      </w:tr>
      <w:tr>
        <w:tc>
          <w:tcPr>
            <w:tcW w:type="dxa" w:w="1440"/>
          </w:tcPr>
          <w:p>
            <w:r>
              <w:rPr>
                <w:rFonts w:ascii="Times New Roman" w:hAnsi="Times New Roman"/>
                <w:sz w:val="22"/>
              </w:rPr>
              <w:t>Janichero Peresores</w:t>
            </w:r>
          </w:p>
        </w:tc>
        <w:tc>
          <w:tcPr>
            <w:tcW w:type="dxa" w:w="1440"/>
          </w:tcPr>
          <w:p>
            <w:r>
              <w:rPr>
                <w:rFonts w:ascii="Times New Roman" w:hAnsi="Times New Roman"/>
                <w:sz w:val="22"/>
              </w:rPr>
              <w:t>IT Specialist / BS-IS Student</w:t>
            </w:r>
          </w:p>
        </w:tc>
        <w:tc>
          <w:tcPr>
            <w:tcW w:type="dxa" w:w="1440"/>
          </w:tcPr>
          <w:p>
            <w:r>
              <w:rPr>
                <w:rFonts w:ascii="Times New Roman" w:hAnsi="Times New Roman"/>
                <w:sz w:val="22"/>
              </w:rPr>
              <w:t>Mapúa Malayan Colleges Mindanao</w:t>
            </w:r>
          </w:p>
        </w:tc>
        <w:tc>
          <w:tcPr>
            <w:tcW w:type="dxa" w:w="1440"/>
          </w:tcPr>
          <w:p>
            <w:r>
              <w:rPr>
                <w:rFonts w:ascii="Times New Roman" w:hAnsi="Times New Roman"/>
                <w:sz w:val="22"/>
              </w:rPr>
              <w:t>2026-06-15</w:t>
            </w:r>
          </w:p>
        </w:tc>
        <w:tc>
          <w:tcPr>
            <w:tcW w:type="dxa" w:w="1440"/>
          </w:tcPr>
          <w:p>
            <w:r>
              <w:rPr>
                <w:rFonts w:ascii="Times New Roman" w:hAnsi="Times New Roman"/>
                <w:sz w:val="22"/>
              </w:rPr>
              <w:t>Excellent</w:t>
            </w:r>
          </w:p>
        </w:tc>
        <w:tc>
          <w:tcPr>
            <w:tcW w:type="dxa" w:w="1440"/>
          </w:tcPr>
          <w:p>
            <w:r>
              <w:rPr>
                <w:rFonts w:ascii="Times New Roman" w:hAnsi="Times New Roman"/>
                <w:sz w:val="22"/>
              </w:rPr>
              <w:t>4.83</w:t>
            </w:r>
          </w:p>
        </w:tc>
      </w:tr>
      <w:tr>
        <w:tc>
          <w:tcPr>
            <w:tcW w:type="dxa" w:w="1440"/>
          </w:tcPr>
          <w:p>
            <w:r>
              <w:rPr>
                <w:rFonts w:ascii="Times New Roman" w:hAnsi="Times New Roman"/>
                <w:sz w:val="22"/>
              </w:rPr>
              <w:t>Basio, Justyne Andrei C.</w:t>
            </w:r>
          </w:p>
        </w:tc>
        <w:tc>
          <w:tcPr>
            <w:tcW w:type="dxa" w:w="1440"/>
          </w:tcPr>
          <w:p>
            <w:r>
              <w:rPr>
                <w:rFonts w:ascii="Times New Roman" w:hAnsi="Times New Roman"/>
                <w:sz w:val="22"/>
              </w:rPr>
              <w:t>Nursing – RCY Volunteer</w:t>
            </w:r>
          </w:p>
        </w:tc>
        <w:tc>
          <w:tcPr>
            <w:tcW w:type="dxa" w:w="1440"/>
          </w:tcPr>
          <w:p>
            <w:r>
              <w:rPr>
                <w:rFonts w:ascii="Times New Roman" w:hAnsi="Times New Roman"/>
                <w:sz w:val="22"/>
              </w:rPr>
              <w:t>SPC / MMCM</w:t>
            </w:r>
          </w:p>
        </w:tc>
        <w:tc>
          <w:tcPr>
            <w:tcW w:type="dxa" w:w="1440"/>
          </w:tcPr>
          <w:p>
            <w:r>
              <w:rPr>
                <w:rFonts w:ascii="Times New Roman" w:hAnsi="Times New Roman"/>
                <w:sz w:val="22"/>
              </w:rPr>
              <w:t>2026-06-15</w:t>
            </w:r>
          </w:p>
        </w:tc>
        <w:tc>
          <w:tcPr>
            <w:tcW w:type="dxa" w:w="1440"/>
          </w:tcPr>
          <w:p>
            <w:r>
              <w:rPr>
                <w:rFonts w:ascii="Times New Roman" w:hAnsi="Times New Roman"/>
                <w:sz w:val="22"/>
              </w:rPr>
              <w:t>Good</w:t>
            </w:r>
          </w:p>
        </w:tc>
        <w:tc>
          <w:tcPr>
            <w:tcW w:type="dxa" w:w="1440"/>
          </w:tcPr>
          <w:p>
            <w:r>
              <w:rPr>
                <w:rFonts w:ascii="Times New Roman" w:hAnsi="Times New Roman"/>
                <w:sz w:val="22"/>
              </w:rPr>
              <w:t>4.54</w:t>
            </w:r>
          </w:p>
        </w:tc>
      </w:tr>
      <w:tr>
        <w:tc>
          <w:tcPr>
            <w:tcW w:type="dxa" w:w="1440"/>
          </w:tcPr>
          <w:p>
            <w:r>
              <w:rPr>
                <w:rFonts w:ascii="Times New Roman" w:hAnsi="Times New Roman"/>
                <w:sz w:val="22"/>
              </w:rPr>
              <w:t>Trina Elizea G. Villiavelez</w:t>
            </w:r>
          </w:p>
        </w:tc>
        <w:tc>
          <w:tcPr>
            <w:tcW w:type="dxa" w:w="1440"/>
          </w:tcPr>
          <w:p>
            <w:r>
              <w:rPr>
                <w:rFonts w:ascii="Times New Roman" w:hAnsi="Times New Roman"/>
                <w:sz w:val="22"/>
              </w:rPr>
              <w:t>Nursing Student</w:t>
            </w:r>
          </w:p>
        </w:tc>
        <w:tc>
          <w:tcPr>
            <w:tcW w:type="dxa" w:w="1440"/>
          </w:tcPr>
          <w:p>
            <w:r>
              <w:rPr>
                <w:rFonts w:ascii="Times New Roman" w:hAnsi="Times New Roman"/>
                <w:sz w:val="22"/>
              </w:rPr>
              <w:t>San Pedro College</w:t>
            </w:r>
          </w:p>
        </w:tc>
        <w:tc>
          <w:tcPr>
            <w:tcW w:type="dxa" w:w="1440"/>
          </w:tcPr>
          <w:p>
            <w:r>
              <w:rPr>
                <w:rFonts w:ascii="Times New Roman" w:hAnsi="Times New Roman"/>
                <w:sz w:val="22"/>
              </w:rPr>
              <w:t>2026-06-14</w:t>
            </w:r>
          </w:p>
        </w:tc>
        <w:tc>
          <w:tcPr>
            <w:tcW w:type="dxa" w:w="1440"/>
          </w:tcPr>
          <w:p>
            <w:r>
              <w:rPr>
                <w:rFonts w:ascii="Times New Roman" w:hAnsi="Times New Roman"/>
                <w:sz w:val="22"/>
              </w:rPr>
              <w:t>Excellent</w:t>
            </w:r>
          </w:p>
        </w:tc>
        <w:tc>
          <w:tcPr>
            <w:tcW w:type="dxa" w:w="1440"/>
          </w:tcPr>
          <w:p>
            <w:r>
              <w:rPr>
                <w:rFonts w:ascii="Times New Roman" w:hAnsi="Times New Roman"/>
                <w:sz w:val="22"/>
              </w:rPr>
              <w:t>4.88</w:t>
            </w:r>
          </w:p>
        </w:tc>
      </w:tr>
      <w:tr>
        <w:tc>
          <w:tcPr>
            <w:tcW w:type="dxa" w:w="1440"/>
          </w:tcPr>
          <w:p>
            <w:r>
              <w:rPr>
                <w:rFonts w:ascii="Times New Roman" w:hAnsi="Times New Roman"/>
                <w:sz w:val="22"/>
              </w:rPr>
              <w:t>Lalaine B. Ganas, RN</w:t>
            </w:r>
          </w:p>
        </w:tc>
        <w:tc>
          <w:tcPr>
            <w:tcW w:type="dxa" w:w="1440"/>
          </w:tcPr>
          <w:p>
            <w:r>
              <w:rPr>
                <w:rFonts w:ascii="Times New Roman" w:hAnsi="Times New Roman"/>
                <w:sz w:val="22"/>
              </w:rPr>
              <w:t>Nurse / Clinical Instructor</w:t>
            </w:r>
          </w:p>
        </w:tc>
        <w:tc>
          <w:tcPr>
            <w:tcW w:type="dxa" w:w="1440"/>
          </w:tcPr>
          <w:p>
            <w:r>
              <w:rPr>
                <w:rFonts w:ascii="Times New Roman" w:hAnsi="Times New Roman"/>
                <w:sz w:val="22"/>
              </w:rPr>
              <w:t>AMSAI-TESDA</w:t>
            </w:r>
          </w:p>
        </w:tc>
        <w:tc>
          <w:tcPr>
            <w:tcW w:type="dxa" w:w="1440"/>
          </w:tcPr>
          <w:p>
            <w:r>
              <w:rPr>
                <w:rFonts w:ascii="Times New Roman" w:hAnsi="Times New Roman"/>
                <w:sz w:val="22"/>
              </w:rPr>
              <w:t>2026-06-17</w:t>
            </w:r>
          </w:p>
        </w:tc>
        <w:tc>
          <w:tcPr>
            <w:tcW w:type="dxa" w:w="1440"/>
          </w:tcPr>
          <w:p>
            <w:r>
              <w:rPr>
                <w:rFonts w:ascii="Times New Roman" w:hAnsi="Times New Roman"/>
                <w:sz w:val="22"/>
              </w:rPr>
              <w:t>Fair</w:t>
            </w:r>
          </w:p>
        </w:tc>
        <w:tc>
          <w:tcPr>
            <w:tcW w:type="dxa" w:w="1440"/>
          </w:tcPr>
          <w:p>
            <w:r>
              <w:rPr>
                <w:rFonts w:ascii="Times New Roman" w:hAnsi="Times New Roman"/>
                <w:sz w:val="22"/>
              </w:rPr>
              <w:t>4.38</w:t>
            </w:r>
          </w:p>
        </w:tc>
      </w:tr>
      <w:tr>
        <w:tc>
          <w:tcPr>
            <w:tcW w:type="dxa" w:w="1440"/>
          </w:tcPr>
          <w:p>
            <w:r>
              <w:rPr>
                <w:rFonts w:ascii="Times New Roman" w:hAnsi="Times New Roman"/>
                <w:sz w:val="22"/>
              </w:rPr>
              <w:t>Cassandra Sofia M. Escabarte</w:t>
            </w:r>
          </w:p>
        </w:tc>
        <w:tc>
          <w:tcPr>
            <w:tcW w:type="dxa" w:w="1440"/>
          </w:tcPr>
          <w:p>
            <w:r>
              <w:rPr>
                <w:rFonts w:ascii="Times New Roman" w:hAnsi="Times New Roman"/>
                <w:sz w:val="22"/>
              </w:rPr>
              <w:t>Student Nurse</w:t>
            </w:r>
          </w:p>
        </w:tc>
        <w:tc>
          <w:tcPr>
            <w:tcW w:type="dxa" w:w="1440"/>
          </w:tcPr>
          <w:p>
            <w:r>
              <w:rPr>
                <w:rFonts w:ascii="Times New Roman" w:hAnsi="Times New Roman"/>
                <w:sz w:val="22"/>
              </w:rPr>
              <w:t>San Pedro College</w:t>
            </w:r>
          </w:p>
        </w:tc>
        <w:tc>
          <w:tcPr>
            <w:tcW w:type="dxa" w:w="1440"/>
          </w:tcPr>
          <w:p>
            <w:r>
              <w:rPr>
                <w:rFonts w:ascii="Times New Roman" w:hAnsi="Times New Roman"/>
                <w:sz w:val="22"/>
              </w:rPr>
              <w:t>2026-06-17</w:t>
            </w:r>
          </w:p>
        </w:tc>
        <w:tc>
          <w:tcPr>
            <w:tcW w:type="dxa" w:w="1440"/>
          </w:tcPr>
          <w:p>
            <w:r>
              <w:rPr>
                <w:rFonts w:ascii="Times New Roman" w:hAnsi="Times New Roman"/>
                <w:sz w:val="22"/>
              </w:rPr>
              <w:t>Good</w:t>
            </w:r>
          </w:p>
        </w:tc>
        <w:tc>
          <w:tcPr>
            <w:tcW w:type="dxa" w:w="1440"/>
          </w:tcPr>
          <w:p>
            <w:r>
              <w:rPr>
                <w:rFonts w:ascii="Times New Roman" w:hAnsi="Times New Roman"/>
                <w:sz w:val="22"/>
              </w:rPr>
              <w:t>4.62</w:t>
            </w:r>
          </w:p>
        </w:tc>
      </w:tr>
      <w:tr>
        <w:tc>
          <w:tcPr>
            <w:tcW w:type="dxa" w:w="1440"/>
          </w:tcPr>
          <w:p>
            <w:r>
              <w:rPr>
                <w:rFonts w:ascii="Times New Roman" w:hAnsi="Times New Roman"/>
                <w:sz w:val="22"/>
              </w:rPr>
              <w:t>Kevyn Kerrine R. Ledesma</w:t>
            </w:r>
          </w:p>
        </w:tc>
        <w:tc>
          <w:tcPr>
            <w:tcW w:type="dxa" w:w="1440"/>
          </w:tcPr>
          <w:p>
            <w:r>
              <w:rPr>
                <w:rFonts w:ascii="Times New Roman" w:hAnsi="Times New Roman"/>
                <w:sz w:val="22"/>
              </w:rPr>
              <w:t>BS Medical Laboratory Science Student</w:t>
            </w:r>
          </w:p>
        </w:tc>
        <w:tc>
          <w:tcPr>
            <w:tcW w:type="dxa" w:w="1440"/>
          </w:tcPr>
          <w:p>
            <w:r>
              <w:rPr>
                <w:rFonts w:ascii="Times New Roman" w:hAnsi="Times New Roman"/>
                <w:sz w:val="22"/>
              </w:rPr>
              <w:t>San Pedro College</w:t>
            </w:r>
          </w:p>
        </w:tc>
        <w:tc>
          <w:tcPr>
            <w:tcW w:type="dxa" w:w="1440"/>
          </w:tcPr>
          <w:p>
            <w:r>
              <w:rPr>
                <w:rFonts w:ascii="Times New Roman" w:hAnsi="Times New Roman"/>
                <w:sz w:val="22"/>
              </w:rPr>
              <w:t>2026-06-17</w:t>
            </w:r>
          </w:p>
        </w:tc>
        <w:tc>
          <w:tcPr>
            <w:tcW w:type="dxa" w:w="1440"/>
          </w:tcPr>
          <w:p>
            <w:r>
              <w:rPr>
                <w:rFonts w:ascii="Times New Roman" w:hAnsi="Times New Roman"/>
                <w:sz w:val="22"/>
              </w:rPr>
              <w:t>Good</w:t>
            </w:r>
          </w:p>
        </w:tc>
        <w:tc>
          <w:tcPr>
            <w:tcW w:type="dxa" w:w="1440"/>
          </w:tcPr>
          <w:p>
            <w:r>
              <w:rPr>
                <w:rFonts w:ascii="Times New Roman" w:hAnsi="Times New Roman"/>
                <w:sz w:val="22"/>
              </w:rPr>
              <w:t>3.96</w:t>
            </w:r>
          </w:p>
        </w:tc>
      </w:tr>
    </w:tbl>
    <w:p/>
    <w:p>
      <w:r>
        <w:rPr>
          <w:rFonts w:ascii="Times New Roman" w:hAnsi="Times New Roman"/>
          <w:sz w:val="24"/>
        </w:rPr>
        <w:t>Table 6.6.2. User Acceptance Testing Results by Evaluation Area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Evaluation Area</w:t>
            </w:r>
          </w:p>
        </w:tc>
        <w:tc>
          <w:tcPr>
            <w:tcW w:type="dxa" w:w="2880"/>
          </w:tcPr>
          <w:p>
            <w:r>
              <w:rPr>
                <w:rFonts w:ascii="Times New Roman" w:hAnsi="Times New Roman"/>
                <w:b/>
                <w:sz w:val="22"/>
              </w:rPr>
              <w:t>Weighted Mean (n=6)</w:t>
            </w:r>
          </w:p>
        </w:tc>
        <w:tc>
          <w:tcPr>
            <w:tcW w:type="dxa" w:w="2880"/>
          </w:tcPr>
          <w:p>
            <w:r>
              <w:rPr>
                <w:rFonts w:ascii="Times New Roman" w:hAnsi="Times New Roman"/>
                <w:b/>
                <w:sz w:val="22"/>
              </w:rPr>
              <w:t>Interpretation</w:t>
            </w:r>
          </w:p>
        </w:tc>
      </w:tr>
      <w:tr>
        <w:tc>
          <w:tcPr>
            <w:tcW w:type="dxa" w:w="2880"/>
          </w:tcPr>
          <w:p>
            <w:r>
              <w:rPr>
                <w:rFonts w:ascii="Times New Roman" w:hAnsi="Times New Roman"/>
                <w:sz w:val="22"/>
              </w:rPr>
              <w:t>Ease of Use</w:t>
            </w:r>
          </w:p>
        </w:tc>
        <w:tc>
          <w:tcPr>
            <w:tcW w:type="dxa" w:w="2880"/>
          </w:tcPr>
          <w:p>
            <w:r>
              <w:rPr>
                <w:rFonts w:ascii="Times New Roman" w:hAnsi="Times New Roman"/>
                <w:sz w:val="22"/>
              </w:rPr>
              <w:t>4.57</w:t>
            </w:r>
          </w:p>
        </w:tc>
        <w:tc>
          <w:tcPr>
            <w:tcW w:type="dxa" w:w="2880"/>
          </w:tcPr>
          <w:p>
            <w:r>
              <w:rPr>
                <w:rFonts w:ascii="Times New Roman" w:hAnsi="Times New Roman"/>
                <w:sz w:val="22"/>
              </w:rPr>
              <w:t>SA</w:t>
            </w:r>
          </w:p>
        </w:tc>
      </w:tr>
      <w:tr>
        <w:tc>
          <w:tcPr>
            <w:tcW w:type="dxa" w:w="2880"/>
          </w:tcPr>
          <w:p>
            <w:r>
              <w:rPr>
                <w:rFonts w:ascii="Times New Roman" w:hAnsi="Times New Roman"/>
                <w:sz w:val="22"/>
              </w:rPr>
              <w:t>Accessibility</w:t>
            </w:r>
          </w:p>
        </w:tc>
        <w:tc>
          <w:tcPr>
            <w:tcW w:type="dxa" w:w="2880"/>
          </w:tcPr>
          <w:p>
            <w:r>
              <w:rPr>
                <w:rFonts w:ascii="Times New Roman" w:hAnsi="Times New Roman"/>
                <w:sz w:val="22"/>
              </w:rPr>
              <w:t>4.60</w:t>
            </w:r>
          </w:p>
        </w:tc>
        <w:tc>
          <w:tcPr>
            <w:tcW w:type="dxa" w:w="2880"/>
          </w:tcPr>
          <w:p>
            <w:r>
              <w:rPr>
                <w:rFonts w:ascii="Times New Roman" w:hAnsi="Times New Roman"/>
                <w:sz w:val="22"/>
              </w:rPr>
              <w:t>SA</w:t>
            </w:r>
          </w:p>
        </w:tc>
      </w:tr>
      <w:tr>
        <w:tc>
          <w:tcPr>
            <w:tcW w:type="dxa" w:w="2880"/>
          </w:tcPr>
          <w:p>
            <w:r>
              <w:rPr>
                <w:rFonts w:ascii="Times New Roman" w:hAnsi="Times New Roman"/>
                <w:sz w:val="22"/>
              </w:rPr>
              <w:t>Responsiveness</w:t>
            </w:r>
          </w:p>
        </w:tc>
        <w:tc>
          <w:tcPr>
            <w:tcW w:type="dxa" w:w="2880"/>
          </w:tcPr>
          <w:p>
            <w:r>
              <w:rPr>
                <w:rFonts w:ascii="Times New Roman" w:hAnsi="Times New Roman"/>
                <w:sz w:val="22"/>
              </w:rPr>
              <w:t>4.21</w:t>
            </w:r>
          </w:p>
        </w:tc>
        <w:tc>
          <w:tcPr>
            <w:tcW w:type="dxa" w:w="2880"/>
          </w:tcPr>
          <w:p>
            <w:r>
              <w:rPr>
                <w:rFonts w:ascii="Times New Roman" w:hAnsi="Times New Roman"/>
                <w:sz w:val="22"/>
              </w:rPr>
              <w:t>A</w:t>
            </w:r>
          </w:p>
        </w:tc>
      </w:tr>
      <w:tr>
        <w:tc>
          <w:tcPr>
            <w:tcW w:type="dxa" w:w="2880"/>
          </w:tcPr>
          <w:p>
            <w:r>
              <w:rPr>
                <w:rFonts w:ascii="Times New Roman" w:hAnsi="Times New Roman"/>
                <w:sz w:val="22"/>
              </w:rPr>
              <w:t>User Satisfaction</w:t>
            </w:r>
          </w:p>
        </w:tc>
        <w:tc>
          <w:tcPr>
            <w:tcW w:type="dxa" w:w="2880"/>
          </w:tcPr>
          <w:p>
            <w:r>
              <w:rPr>
                <w:rFonts w:ascii="Times New Roman" w:hAnsi="Times New Roman"/>
                <w:sz w:val="22"/>
              </w:rPr>
              <w:t>4.67</w:t>
            </w:r>
          </w:p>
        </w:tc>
        <w:tc>
          <w:tcPr>
            <w:tcW w:type="dxa" w:w="2880"/>
          </w:tcPr>
          <w:p>
            <w:r>
              <w:rPr>
                <w:rFonts w:ascii="Times New Roman" w:hAnsi="Times New Roman"/>
                <w:sz w:val="22"/>
              </w:rPr>
              <w:t>SA</w:t>
            </w:r>
          </w:p>
        </w:tc>
      </w:tr>
    </w:tbl>
    <w:p/>
    <w:p>
      <w:r>
        <w:rPr>
          <w:rFonts w:ascii="Times New Roman" w:hAnsi="Times New Roman"/>
          <w:sz w:val="24"/>
        </w:rPr>
        <w:t>Table 6.6.3. Overall UAT Performance Rating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Overall Rating</w:t>
            </w:r>
          </w:p>
        </w:tc>
        <w:tc>
          <w:tcPr>
            <w:tcW w:type="dxa" w:w="2880"/>
          </w:tcPr>
          <w:p>
            <w:r>
              <w:rPr>
                <w:rFonts w:ascii="Times New Roman" w:hAnsi="Times New Roman"/>
                <w:b/>
                <w:sz w:val="22"/>
              </w:rPr>
              <w:t>Frequency</w:t>
            </w:r>
          </w:p>
        </w:tc>
        <w:tc>
          <w:tcPr>
            <w:tcW w:type="dxa" w:w="2880"/>
          </w:tcPr>
          <w:p>
            <w:r>
              <w:rPr>
                <w:rFonts w:ascii="Times New Roman" w:hAnsi="Times New Roman"/>
                <w:b/>
                <w:sz w:val="22"/>
              </w:rPr>
              <w:t>Percentage</w:t>
            </w:r>
          </w:p>
        </w:tc>
      </w:tr>
      <w:tr>
        <w:tc>
          <w:tcPr>
            <w:tcW w:type="dxa" w:w="2880"/>
          </w:tcPr>
          <w:p>
            <w:r>
              <w:rPr>
                <w:rFonts w:ascii="Times New Roman" w:hAnsi="Times New Roman"/>
                <w:sz w:val="22"/>
              </w:rPr>
              <w:t>Excellent</w:t>
            </w:r>
          </w:p>
        </w:tc>
        <w:tc>
          <w:tcPr>
            <w:tcW w:type="dxa" w:w="2880"/>
          </w:tcPr>
          <w:p>
            <w:r>
              <w:rPr>
                <w:rFonts w:ascii="Times New Roman" w:hAnsi="Times New Roman"/>
                <w:sz w:val="22"/>
              </w:rPr>
              <w:t>2</w:t>
            </w:r>
          </w:p>
        </w:tc>
        <w:tc>
          <w:tcPr>
            <w:tcW w:type="dxa" w:w="2880"/>
          </w:tcPr>
          <w:p>
            <w:r>
              <w:rPr>
                <w:rFonts w:ascii="Times New Roman" w:hAnsi="Times New Roman"/>
                <w:sz w:val="22"/>
              </w:rPr>
              <w:t>33.3%</w:t>
            </w:r>
          </w:p>
        </w:tc>
      </w:tr>
      <w:tr>
        <w:tc>
          <w:tcPr>
            <w:tcW w:type="dxa" w:w="2880"/>
          </w:tcPr>
          <w:p>
            <w:r>
              <w:rPr>
                <w:rFonts w:ascii="Times New Roman" w:hAnsi="Times New Roman"/>
                <w:sz w:val="22"/>
              </w:rPr>
              <w:t>Good</w:t>
            </w:r>
          </w:p>
        </w:tc>
        <w:tc>
          <w:tcPr>
            <w:tcW w:type="dxa" w:w="2880"/>
          </w:tcPr>
          <w:p>
            <w:r>
              <w:rPr>
                <w:rFonts w:ascii="Times New Roman" w:hAnsi="Times New Roman"/>
                <w:sz w:val="22"/>
              </w:rPr>
              <w:t>3</w:t>
            </w:r>
          </w:p>
        </w:tc>
        <w:tc>
          <w:tcPr>
            <w:tcW w:type="dxa" w:w="2880"/>
          </w:tcPr>
          <w:p>
            <w:r>
              <w:rPr>
                <w:rFonts w:ascii="Times New Roman" w:hAnsi="Times New Roman"/>
                <w:sz w:val="22"/>
              </w:rPr>
              <w:t>50.0%</w:t>
            </w:r>
          </w:p>
        </w:tc>
      </w:tr>
      <w:tr>
        <w:tc>
          <w:tcPr>
            <w:tcW w:type="dxa" w:w="2880"/>
          </w:tcPr>
          <w:p>
            <w:r>
              <w:rPr>
                <w:rFonts w:ascii="Times New Roman" w:hAnsi="Times New Roman"/>
                <w:sz w:val="22"/>
              </w:rPr>
              <w:t>Fair</w:t>
            </w:r>
          </w:p>
        </w:tc>
        <w:tc>
          <w:tcPr>
            <w:tcW w:type="dxa" w:w="2880"/>
          </w:tcPr>
          <w:p>
            <w:r>
              <w:rPr>
                <w:rFonts w:ascii="Times New Roman" w:hAnsi="Times New Roman"/>
                <w:sz w:val="22"/>
              </w:rPr>
              <w:t>1</w:t>
            </w:r>
          </w:p>
        </w:tc>
        <w:tc>
          <w:tcPr>
            <w:tcW w:type="dxa" w:w="2880"/>
          </w:tcPr>
          <w:p>
            <w:r>
              <w:rPr>
                <w:rFonts w:ascii="Times New Roman" w:hAnsi="Times New Roman"/>
                <w:sz w:val="22"/>
              </w:rPr>
              <w:t>16.7%</w:t>
            </w:r>
          </w:p>
        </w:tc>
      </w:tr>
      <w:tr>
        <w:tc>
          <w:tcPr>
            <w:tcW w:type="dxa" w:w="2880"/>
          </w:tcPr>
          <w:p>
            <w:r>
              <w:rPr>
                <w:rFonts w:ascii="Times New Roman" w:hAnsi="Times New Roman"/>
                <w:sz w:val="22"/>
              </w:rPr>
              <w:t>Poor</w:t>
            </w:r>
          </w:p>
        </w:tc>
        <w:tc>
          <w:tcPr>
            <w:tcW w:type="dxa" w:w="2880"/>
          </w:tcPr>
          <w:p>
            <w:r>
              <w:rPr>
                <w:rFonts w:ascii="Times New Roman" w:hAnsi="Times New Roman"/>
                <w:sz w:val="22"/>
              </w:rPr>
              <w:t>0</w:t>
            </w:r>
          </w:p>
        </w:tc>
        <w:tc>
          <w:tcPr>
            <w:tcW w:type="dxa" w:w="2880"/>
          </w:tcPr>
          <w:p>
            <w:r>
              <w:rPr>
                <w:rFonts w:ascii="Times New Roman" w:hAnsi="Times New Roman"/>
                <w:sz w:val="22"/>
              </w:rPr>
              <w:t>0.0%</w:t>
            </w:r>
          </w:p>
        </w:tc>
      </w:tr>
      <w:tr>
        <w:tc>
          <w:tcPr>
            <w:tcW w:type="dxa" w:w="2880"/>
          </w:tcPr>
          <w:p>
            <w:r>
              <w:rPr>
                <w:rFonts w:ascii="Times New Roman" w:hAnsi="Times New Roman"/>
                <w:sz w:val="22"/>
              </w:rPr>
              <w:t>Very Poor</w:t>
            </w:r>
          </w:p>
        </w:tc>
        <w:tc>
          <w:tcPr>
            <w:tcW w:type="dxa" w:w="2880"/>
          </w:tcPr>
          <w:p>
            <w:r>
              <w:rPr>
                <w:rFonts w:ascii="Times New Roman" w:hAnsi="Times New Roman"/>
                <w:sz w:val="22"/>
              </w:rPr>
              <w:t>0</w:t>
            </w:r>
          </w:p>
        </w:tc>
        <w:tc>
          <w:tcPr>
            <w:tcW w:type="dxa" w:w="2880"/>
          </w:tcPr>
          <w:p>
            <w:r>
              <w:rPr>
                <w:rFonts w:ascii="Times New Roman" w:hAnsi="Times New Roman"/>
                <w:sz w:val="22"/>
              </w:rPr>
              <w:t>0.0%</w:t>
            </w:r>
          </w:p>
        </w:tc>
      </w:tr>
    </w:tbl>
    <w:p/>
    <w:p>
      <w:r>
        <w:rPr>
          <w:rFonts w:ascii="Times New Roman" w:hAnsi="Times New Roman"/>
          <w:sz w:val="24"/>
        </w:rPr>
        <w:t>Qualitative feedback highlighted stable Wi-Fi and isolated audio capture for cough recording, improved onboarding for first-time booth staff, location-based referral to accredited TB DOTS clinics, cough quality-gate refinement (including female cough samples), offline or low-bandwidth resilience for rural deployment, and clearer ML processing status indicators. The clinical instructor evaluator (Ganas, RN) rated overall performance as Fair, citing rural network handling and instructional clarity as primary improvement areas, while IT and nursing-student evaluators rated the system Excellent.</w:t>
      </w:r>
    </w:p>
    <w:p>
      <w:pPr>
        <w:jc w:val="center"/>
      </w:pPr>
      <w:r>
        <w:drawing>
          <wp:inline xmlns:a="http://schemas.openxmlformats.org/drawingml/2006/main" xmlns:pic="http://schemas.openxmlformats.org/drawingml/2006/picture">
            <wp:extent cx="5029200" cy="2802506"/>
            <wp:docPr id="20" name="Picture 20"/>
            <wp:cNvGraphicFramePr>
              <a:graphicFrameLocks noChangeAspect="1"/>
            </wp:cNvGraphicFramePr>
            <a:graphic>
              <a:graphicData uri="http://schemas.openxmlformats.org/drawingml/2006/picture">
                <pic:pic>
                  <pic:nvPicPr>
                    <pic:cNvPr id="0" name="figure_6_6_1_uat_summary.png"/>
                    <pic:cNvPicPr/>
                  </pic:nvPicPr>
                  <pic:blipFill>
                    <a:blip r:embed="rId26"/>
                    <a:stretch>
                      <a:fillRect/>
                    </a:stretch>
                  </pic:blipFill>
                  <pic:spPr>
                    <a:xfrm>
                      <a:off x="0" y="0"/>
                      <a:ext cx="5029200" cy="2802506"/>
                    </a:xfrm>
                    <a:prstGeom prst="rect"/>
                  </pic:spPr>
                </pic:pic>
              </a:graphicData>
            </a:graphic>
          </wp:inline>
        </w:drawing>
      </w:r>
    </w:p>
    <w:p>
      <w:pPr>
        <w:jc w:val="center"/>
      </w:pPr>
      <w:r>
        <w:rPr>
          <w:rFonts w:ascii="Times New Roman" w:hAnsi="Times New Roman"/>
          <w:b/>
          <w:sz w:val="24"/>
        </w:rPr>
        <w:t>Figure 6.6.1. User Acceptance Testing Summary Graph</w:t>
      </w:r>
    </w:p>
    <w:p>
      <w:pPr>
        <w:jc w:val="center"/>
      </w:pPr>
      <w:r>
        <w:drawing>
          <wp:inline xmlns:a="http://schemas.openxmlformats.org/drawingml/2006/main" xmlns:pic="http://schemas.openxmlformats.org/drawingml/2006/picture">
            <wp:extent cx="4389120" cy="2798969"/>
            <wp:docPr id="21" name="Picture 21"/>
            <wp:cNvGraphicFramePr>
              <a:graphicFrameLocks noChangeAspect="1"/>
            </wp:cNvGraphicFramePr>
            <a:graphic>
              <a:graphicData uri="http://schemas.openxmlformats.org/drawingml/2006/picture">
                <pic:pic>
                  <pic:nvPicPr>
                    <pic:cNvPr id="0" name="figure_6_6_2_uat_overall_rating.png"/>
                    <pic:cNvPicPr/>
                  </pic:nvPicPr>
                  <pic:blipFill>
                    <a:blip r:embed="rId27"/>
                    <a:stretch>
                      <a:fillRect/>
                    </a:stretch>
                  </pic:blipFill>
                  <pic:spPr>
                    <a:xfrm>
                      <a:off x="0" y="0"/>
                      <a:ext cx="4389120" cy="2798969"/>
                    </a:xfrm>
                    <a:prstGeom prst="rect"/>
                  </pic:spPr>
                </pic:pic>
              </a:graphicData>
            </a:graphic>
          </wp:inline>
        </w:drawing>
      </w:r>
    </w:p>
    <w:p>
      <w:pPr>
        <w:jc w:val="center"/>
      </w:pPr>
      <w:r>
        <w:rPr>
          <w:rFonts w:ascii="Times New Roman" w:hAnsi="Times New Roman"/>
          <w:b/>
          <w:sz w:val="24"/>
        </w:rPr>
        <w:t>Figure 6.6.2. Overall UAT Performance Rating Distribution</w:t>
      </w:r>
    </w:p>
    <w:p>
      <w:pPr>
        <w:pStyle w:val="Heading2"/>
      </w:pPr>
      <w:r>
        <w:t>6.7 ISO Software Quality Evaluation</w:t>
      </w:r>
    </w:p>
    <w:p>
      <w:r>
        <w:rPr>
          <w:rFonts w:ascii="Times New Roman" w:hAnsi="Times New Roman"/>
          <w:sz w:val="24"/>
        </w:rPr>
        <w:t>The proposed TBhon mobile application was evaluated using ISO/IEC 25010 software quality standards to assess the acceptability and software quality characteristics of the implemented system. The evaluation involved purposively selected professionals who assessed the application using a structured twenty-four-item questionnaire mapped to ISO quality characteristics: Functional Suitability, Performance Efficiency, Usability, Reliability, and Security. Weighted mean scores per characteristic determine compliance levels using a five-point Likert scale.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Scale</w:t>
            </w:r>
          </w:p>
        </w:tc>
        <w:tc>
          <w:tcPr>
            <w:tcW w:type="dxa" w:w="2880"/>
          </w:tcPr>
          <w:p>
            <w:r>
              <w:rPr>
                <w:rFonts w:ascii="Times New Roman" w:hAnsi="Times New Roman"/>
                <w:b/>
                <w:sz w:val="22"/>
              </w:rPr>
              <w:t>Value Range</w:t>
            </w:r>
          </w:p>
        </w:tc>
        <w:tc>
          <w:tcPr>
            <w:tcW w:type="dxa" w:w="2880"/>
          </w:tcPr>
          <w:p>
            <w:r>
              <w:rPr>
                <w:rFonts w:ascii="Times New Roman" w:hAnsi="Times New Roman"/>
                <w:b/>
                <w:sz w:val="22"/>
              </w:rPr>
              <w:t>Interpretation</w:t>
            </w:r>
          </w:p>
        </w:tc>
      </w:tr>
      <w:tr>
        <w:tc>
          <w:tcPr>
            <w:tcW w:type="dxa" w:w="2880"/>
          </w:tcPr>
          <w:p>
            <w:r>
              <w:rPr>
                <w:rFonts w:ascii="Times New Roman" w:hAnsi="Times New Roman"/>
                <w:sz w:val="22"/>
              </w:rPr>
              <w:t>5</w:t>
            </w:r>
          </w:p>
        </w:tc>
        <w:tc>
          <w:tcPr>
            <w:tcW w:type="dxa" w:w="2880"/>
          </w:tcPr>
          <w:p>
            <w:r>
              <w:rPr>
                <w:rFonts w:ascii="Times New Roman" w:hAnsi="Times New Roman"/>
                <w:sz w:val="22"/>
              </w:rPr>
              <w:t>4.50 – 5.00</w:t>
            </w:r>
          </w:p>
        </w:tc>
        <w:tc>
          <w:tcPr>
            <w:tcW w:type="dxa" w:w="2880"/>
          </w:tcPr>
          <w:p>
            <w:r>
              <w:rPr>
                <w:rFonts w:ascii="Times New Roman" w:hAnsi="Times New Roman"/>
                <w:sz w:val="22"/>
              </w:rPr>
              <w:t>Strongly Agree (SA)</w:t>
            </w:r>
          </w:p>
        </w:tc>
      </w:tr>
      <w:tr>
        <w:tc>
          <w:tcPr>
            <w:tcW w:type="dxa" w:w="2880"/>
          </w:tcPr>
          <w:p>
            <w:r>
              <w:rPr>
                <w:rFonts w:ascii="Times New Roman" w:hAnsi="Times New Roman"/>
                <w:sz w:val="22"/>
              </w:rPr>
              <w:t>4</w:t>
            </w:r>
          </w:p>
        </w:tc>
        <w:tc>
          <w:tcPr>
            <w:tcW w:type="dxa" w:w="2880"/>
          </w:tcPr>
          <w:p>
            <w:r>
              <w:rPr>
                <w:rFonts w:ascii="Times New Roman" w:hAnsi="Times New Roman"/>
                <w:sz w:val="22"/>
              </w:rPr>
              <w:t>3.50 – 4.49</w:t>
            </w:r>
          </w:p>
        </w:tc>
        <w:tc>
          <w:tcPr>
            <w:tcW w:type="dxa" w:w="2880"/>
          </w:tcPr>
          <w:p>
            <w:r>
              <w:rPr>
                <w:rFonts w:ascii="Times New Roman" w:hAnsi="Times New Roman"/>
                <w:sz w:val="22"/>
              </w:rPr>
              <w:t>Agree (A)</w:t>
            </w:r>
          </w:p>
        </w:tc>
      </w:tr>
      <w:tr>
        <w:tc>
          <w:tcPr>
            <w:tcW w:type="dxa" w:w="2880"/>
          </w:tcPr>
          <w:p>
            <w:r>
              <w:rPr>
                <w:rFonts w:ascii="Times New Roman" w:hAnsi="Times New Roman"/>
                <w:sz w:val="22"/>
              </w:rPr>
              <w:t>3</w:t>
            </w:r>
          </w:p>
        </w:tc>
        <w:tc>
          <w:tcPr>
            <w:tcW w:type="dxa" w:w="2880"/>
          </w:tcPr>
          <w:p>
            <w:r>
              <w:rPr>
                <w:rFonts w:ascii="Times New Roman" w:hAnsi="Times New Roman"/>
                <w:sz w:val="22"/>
              </w:rPr>
              <w:t>2.50 – 3.49</w:t>
            </w:r>
          </w:p>
        </w:tc>
        <w:tc>
          <w:tcPr>
            <w:tcW w:type="dxa" w:w="2880"/>
          </w:tcPr>
          <w:p>
            <w:r>
              <w:rPr>
                <w:rFonts w:ascii="Times New Roman" w:hAnsi="Times New Roman"/>
                <w:sz w:val="22"/>
              </w:rPr>
              <w:t>Neutral (N)</w:t>
            </w:r>
          </w:p>
        </w:tc>
      </w:tr>
      <w:tr>
        <w:tc>
          <w:tcPr>
            <w:tcW w:type="dxa" w:w="2880"/>
          </w:tcPr>
          <w:p>
            <w:r>
              <w:rPr>
                <w:rFonts w:ascii="Times New Roman" w:hAnsi="Times New Roman"/>
                <w:sz w:val="22"/>
              </w:rPr>
              <w:t>2</w:t>
            </w:r>
          </w:p>
        </w:tc>
        <w:tc>
          <w:tcPr>
            <w:tcW w:type="dxa" w:w="2880"/>
          </w:tcPr>
          <w:p>
            <w:r>
              <w:rPr>
                <w:rFonts w:ascii="Times New Roman" w:hAnsi="Times New Roman"/>
                <w:sz w:val="22"/>
              </w:rPr>
              <w:t>1.50 – 2.49</w:t>
            </w:r>
          </w:p>
        </w:tc>
        <w:tc>
          <w:tcPr>
            <w:tcW w:type="dxa" w:w="2880"/>
          </w:tcPr>
          <w:p>
            <w:r>
              <w:rPr>
                <w:rFonts w:ascii="Times New Roman" w:hAnsi="Times New Roman"/>
                <w:sz w:val="22"/>
              </w:rPr>
              <w:t>Disagree (D)</w:t>
            </w:r>
          </w:p>
        </w:tc>
      </w:tr>
      <w:tr>
        <w:tc>
          <w:tcPr>
            <w:tcW w:type="dxa" w:w="2880"/>
          </w:tcPr>
          <w:p>
            <w:r>
              <w:rPr>
                <w:rFonts w:ascii="Times New Roman" w:hAnsi="Times New Roman"/>
                <w:sz w:val="22"/>
              </w:rPr>
              <w:t>1</w:t>
            </w:r>
          </w:p>
        </w:tc>
        <w:tc>
          <w:tcPr>
            <w:tcW w:type="dxa" w:w="2880"/>
          </w:tcPr>
          <w:p>
            <w:r>
              <w:rPr>
                <w:rFonts w:ascii="Times New Roman" w:hAnsi="Times New Roman"/>
                <w:sz w:val="22"/>
              </w:rPr>
              <w:t>1.00 – 1.49</w:t>
            </w:r>
          </w:p>
        </w:tc>
        <w:tc>
          <w:tcPr>
            <w:tcW w:type="dxa" w:w="2880"/>
          </w:tcPr>
          <w:p>
            <w:r>
              <w:rPr>
                <w:rFonts w:ascii="Times New Roman" w:hAnsi="Times New Roman"/>
                <w:sz w:val="22"/>
              </w:rPr>
              <w:t>Strongly Disagree (SD)</w:t>
            </w:r>
          </w:p>
        </w:tc>
      </w:tr>
    </w:tbl>
    <w:p/>
    <w:p>
      <w:r>
        <w:rPr>
          <w:rFonts w:ascii="Times New Roman" w:hAnsi="Times New Roman"/>
          <w:sz w:val="24"/>
        </w:rPr>
        <w:t>Table 6.7.2 presents the ISO/IEC 25010 acceptability results derived from the UAT instrument (Appendix H) across 6 completed evaluator forms. Interpretations follow the Likert scale above.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System Acceptability Criteria</w:t>
            </w:r>
          </w:p>
        </w:tc>
        <w:tc>
          <w:tcPr>
            <w:tcW w:type="dxa" w:w="2880"/>
          </w:tcPr>
          <w:p>
            <w:r>
              <w:rPr>
                <w:rFonts w:ascii="Times New Roman" w:hAnsi="Times New Roman"/>
                <w:b/>
                <w:sz w:val="22"/>
              </w:rPr>
              <w:t>Weighted Mean (n=6)</w:t>
            </w:r>
          </w:p>
        </w:tc>
        <w:tc>
          <w:tcPr>
            <w:tcW w:type="dxa" w:w="2880"/>
          </w:tcPr>
          <w:p>
            <w:r>
              <w:rPr>
                <w:rFonts w:ascii="Times New Roman" w:hAnsi="Times New Roman"/>
                <w:b/>
                <w:sz w:val="22"/>
              </w:rPr>
              <w:t>Interpretation</w:t>
            </w:r>
          </w:p>
        </w:tc>
      </w:tr>
      <w:tr>
        <w:tc>
          <w:tcPr>
            <w:tcW w:type="dxa" w:w="2880"/>
          </w:tcPr>
          <w:p>
            <w:r>
              <w:rPr>
                <w:rFonts w:ascii="Times New Roman" w:hAnsi="Times New Roman"/>
                <w:sz w:val="22"/>
              </w:rPr>
              <w:t>Functional Suitability (Items 1–7)</w:t>
            </w:r>
          </w:p>
        </w:tc>
        <w:tc>
          <w:tcPr>
            <w:tcW w:type="dxa" w:w="2880"/>
          </w:tcPr>
          <w:p>
            <w:r>
              <w:rPr>
                <w:rFonts w:ascii="Times New Roman" w:hAnsi="Times New Roman"/>
                <w:sz w:val="22"/>
              </w:rPr>
              <w:t>4.60</w:t>
            </w:r>
          </w:p>
        </w:tc>
        <w:tc>
          <w:tcPr>
            <w:tcW w:type="dxa" w:w="2880"/>
          </w:tcPr>
          <w:p>
            <w:r>
              <w:rPr>
                <w:rFonts w:ascii="Times New Roman" w:hAnsi="Times New Roman"/>
                <w:sz w:val="22"/>
              </w:rPr>
              <w:t>SA</w:t>
            </w:r>
          </w:p>
        </w:tc>
      </w:tr>
      <w:tr>
        <w:tc>
          <w:tcPr>
            <w:tcW w:type="dxa" w:w="2880"/>
          </w:tcPr>
          <w:p>
            <w:r>
              <w:rPr>
                <w:rFonts w:ascii="Times New Roman" w:hAnsi="Times New Roman"/>
                <w:sz w:val="22"/>
              </w:rPr>
              <w:t>Performance Efficiency (Items 8–11)</w:t>
            </w:r>
          </w:p>
        </w:tc>
        <w:tc>
          <w:tcPr>
            <w:tcW w:type="dxa" w:w="2880"/>
          </w:tcPr>
          <w:p>
            <w:r>
              <w:rPr>
                <w:rFonts w:ascii="Times New Roman" w:hAnsi="Times New Roman"/>
                <w:sz w:val="22"/>
              </w:rPr>
              <w:t>4.21</w:t>
            </w:r>
          </w:p>
        </w:tc>
        <w:tc>
          <w:tcPr>
            <w:tcW w:type="dxa" w:w="2880"/>
          </w:tcPr>
          <w:p>
            <w:r>
              <w:rPr>
                <w:rFonts w:ascii="Times New Roman" w:hAnsi="Times New Roman"/>
                <w:sz w:val="22"/>
              </w:rPr>
              <w:t>A</w:t>
            </w:r>
          </w:p>
        </w:tc>
      </w:tr>
      <w:tr>
        <w:tc>
          <w:tcPr>
            <w:tcW w:type="dxa" w:w="2880"/>
          </w:tcPr>
          <w:p>
            <w:r>
              <w:rPr>
                <w:rFonts w:ascii="Times New Roman" w:hAnsi="Times New Roman"/>
                <w:sz w:val="22"/>
              </w:rPr>
              <w:t>Usability (Items 12–16)</w:t>
            </w:r>
          </w:p>
        </w:tc>
        <w:tc>
          <w:tcPr>
            <w:tcW w:type="dxa" w:w="2880"/>
          </w:tcPr>
          <w:p>
            <w:r>
              <w:rPr>
                <w:rFonts w:ascii="Times New Roman" w:hAnsi="Times New Roman"/>
                <w:sz w:val="22"/>
              </w:rPr>
              <w:t>4.57</w:t>
            </w:r>
          </w:p>
        </w:tc>
        <w:tc>
          <w:tcPr>
            <w:tcW w:type="dxa" w:w="2880"/>
          </w:tcPr>
          <w:p>
            <w:r>
              <w:rPr>
                <w:rFonts w:ascii="Times New Roman" w:hAnsi="Times New Roman"/>
                <w:sz w:val="22"/>
              </w:rPr>
              <w:t>SA</w:t>
            </w:r>
          </w:p>
        </w:tc>
      </w:tr>
      <w:tr>
        <w:tc>
          <w:tcPr>
            <w:tcW w:type="dxa" w:w="2880"/>
          </w:tcPr>
          <w:p>
            <w:r>
              <w:rPr>
                <w:rFonts w:ascii="Times New Roman" w:hAnsi="Times New Roman"/>
                <w:sz w:val="22"/>
              </w:rPr>
              <w:t>Reliability (Items 17–20)</w:t>
            </w:r>
          </w:p>
        </w:tc>
        <w:tc>
          <w:tcPr>
            <w:tcW w:type="dxa" w:w="2880"/>
          </w:tcPr>
          <w:p>
            <w:r>
              <w:rPr>
                <w:rFonts w:ascii="Times New Roman" w:hAnsi="Times New Roman"/>
                <w:sz w:val="22"/>
              </w:rPr>
              <w:t>4.38</w:t>
            </w:r>
          </w:p>
        </w:tc>
        <w:tc>
          <w:tcPr>
            <w:tcW w:type="dxa" w:w="2880"/>
          </w:tcPr>
          <w:p>
            <w:r>
              <w:rPr>
                <w:rFonts w:ascii="Times New Roman" w:hAnsi="Times New Roman"/>
                <w:sz w:val="22"/>
              </w:rPr>
              <w:t>A</w:t>
            </w:r>
          </w:p>
        </w:tc>
      </w:tr>
      <w:tr>
        <w:tc>
          <w:tcPr>
            <w:tcW w:type="dxa" w:w="2880"/>
          </w:tcPr>
          <w:p>
            <w:r>
              <w:rPr>
                <w:rFonts w:ascii="Times New Roman" w:hAnsi="Times New Roman"/>
                <w:sz w:val="22"/>
              </w:rPr>
              <w:t>Security (Items 21–23)</w:t>
            </w:r>
          </w:p>
        </w:tc>
        <w:tc>
          <w:tcPr>
            <w:tcW w:type="dxa" w:w="2880"/>
          </w:tcPr>
          <w:p>
            <w:r>
              <w:rPr>
                <w:rFonts w:ascii="Times New Roman" w:hAnsi="Times New Roman"/>
                <w:sz w:val="22"/>
              </w:rPr>
              <w:t>4.94</w:t>
            </w:r>
          </w:p>
        </w:tc>
        <w:tc>
          <w:tcPr>
            <w:tcW w:type="dxa" w:w="2880"/>
          </w:tcPr>
          <w:p>
            <w:r>
              <w:rPr>
                <w:rFonts w:ascii="Times New Roman" w:hAnsi="Times New Roman"/>
                <w:sz w:val="22"/>
              </w:rPr>
              <w:t>SA</w:t>
            </w:r>
          </w:p>
        </w:tc>
      </w:tr>
      <w:tr>
        <w:tc>
          <w:tcPr>
            <w:tcW w:type="dxa" w:w="2880"/>
          </w:tcPr>
          <w:p>
            <w:r>
              <w:rPr>
                <w:rFonts w:ascii="Times New Roman" w:hAnsi="Times New Roman"/>
                <w:sz w:val="22"/>
              </w:rPr>
              <w:t>Overall Satisfaction (Item 24)</w:t>
            </w:r>
          </w:p>
        </w:tc>
        <w:tc>
          <w:tcPr>
            <w:tcW w:type="dxa" w:w="2880"/>
          </w:tcPr>
          <w:p>
            <w:r>
              <w:rPr>
                <w:rFonts w:ascii="Times New Roman" w:hAnsi="Times New Roman"/>
                <w:sz w:val="22"/>
              </w:rPr>
              <w:t>4.67</w:t>
            </w:r>
          </w:p>
        </w:tc>
        <w:tc>
          <w:tcPr>
            <w:tcW w:type="dxa" w:w="2880"/>
          </w:tcPr>
          <w:p>
            <w:r>
              <w:rPr>
                <w:rFonts w:ascii="Times New Roman" w:hAnsi="Times New Roman"/>
                <w:sz w:val="22"/>
              </w:rPr>
              <w:t>SA</w:t>
            </w:r>
          </w:p>
        </w:tc>
      </w:tr>
      <w:tr>
        <w:tc>
          <w:tcPr>
            <w:tcW w:type="dxa" w:w="2880"/>
          </w:tcPr>
          <w:p>
            <w:r>
              <w:rPr>
                <w:rFonts w:ascii="Times New Roman" w:hAnsi="Times New Roman"/>
                <w:sz w:val="22"/>
              </w:rPr>
              <w:t>Grand Mean (Items 1–24)</w:t>
            </w:r>
          </w:p>
        </w:tc>
        <w:tc>
          <w:tcPr>
            <w:tcW w:type="dxa" w:w="2880"/>
          </w:tcPr>
          <w:p>
            <w:r>
              <w:rPr>
                <w:rFonts w:ascii="Times New Roman" w:hAnsi="Times New Roman"/>
                <w:sz w:val="22"/>
              </w:rPr>
              <w:t>4.53</w:t>
            </w:r>
          </w:p>
        </w:tc>
        <w:tc>
          <w:tcPr>
            <w:tcW w:type="dxa" w:w="2880"/>
          </w:tcPr>
          <w:p>
            <w:r>
              <w:rPr>
                <w:rFonts w:ascii="Times New Roman" w:hAnsi="Times New Roman"/>
                <w:sz w:val="22"/>
              </w:rPr>
              <w:t>SA</w:t>
            </w:r>
          </w:p>
        </w:tc>
      </w:tr>
    </w:tbl>
    <w:p/>
    <w:p>
      <w:pPr>
        <w:jc w:val="center"/>
      </w:pPr>
      <w:r>
        <w:drawing>
          <wp:inline xmlns:a="http://schemas.openxmlformats.org/drawingml/2006/main" xmlns:pic="http://schemas.openxmlformats.org/drawingml/2006/picture">
            <wp:extent cx="5029200" cy="2802506"/>
            <wp:docPr id="22" name="Picture 22"/>
            <wp:cNvGraphicFramePr>
              <a:graphicFrameLocks noChangeAspect="1"/>
            </wp:cNvGraphicFramePr>
            <a:graphic>
              <a:graphicData uri="http://schemas.openxmlformats.org/drawingml/2006/picture">
                <pic:pic>
                  <pic:nvPicPr>
                    <pic:cNvPr id="0" name="figure_6_7_1_iso_quality_summary.png"/>
                    <pic:cNvPicPr/>
                  </pic:nvPicPr>
                  <pic:blipFill>
                    <a:blip r:embed="rId28"/>
                    <a:stretch>
                      <a:fillRect/>
                    </a:stretch>
                  </pic:blipFill>
                  <pic:spPr>
                    <a:xfrm>
                      <a:off x="0" y="0"/>
                      <a:ext cx="5029200" cy="2802506"/>
                    </a:xfrm>
                    <a:prstGeom prst="rect"/>
                  </pic:spPr>
                </pic:pic>
              </a:graphicData>
            </a:graphic>
          </wp:inline>
        </w:drawing>
      </w:r>
    </w:p>
    <w:p>
      <w:pPr>
        <w:jc w:val="center"/>
      </w:pPr>
      <w:r>
        <w:rPr>
          <w:rFonts w:ascii="Times New Roman" w:hAnsi="Times New Roman"/>
          <w:b/>
          <w:sz w:val="24"/>
        </w:rPr>
        <w:t>Figure 6.7.1. ISO/IEC 25010 Software Quality Evaluation Summary Graph</w:t>
      </w:r>
    </w:p>
    <w:p>
      <w:pPr>
        <w:pStyle w:val="Heading2"/>
      </w:pPr>
      <w:r>
        <w:t>6.8 Program Testing Specifications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Specification</w:t>
            </w:r>
          </w:p>
        </w:tc>
        <w:tc>
          <w:tcPr>
            <w:tcW w:type="dxa" w:w="4320"/>
          </w:tcPr>
          <w:p>
            <w:r>
              <w:rPr>
                <w:rFonts w:ascii="Times New Roman" w:hAnsi="Times New Roman"/>
                <w:b/>
                <w:sz w:val="22"/>
              </w:rPr>
              <w:t>Device #1 Value</w:t>
            </w:r>
          </w:p>
        </w:tc>
      </w:tr>
      <w:tr>
        <w:tc>
          <w:tcPr>
            <w:tcW w:type="dxa" w:w="4320"/>
          </w:tcPr>
          <w:p>
            <w:r>
              <w:rPr>
                <w:rFonts w:ascii="Times New Roman" w:hAnsi="Times New Roman"/>
                <w:sz w:val="22"/>
              </w:rPr>
              <w:t>Model</w:t>
            </w:r>
          </w:p>
        </w:tc>
        <w:tc>
          <w:tcPr>
            <w:tcW w:type="dxa" w:w="4320"/>
          </w:tcPr>
          <w:p>
            <w:r>
              <w:rPr>
                <w:rFonts w:ascii="Times New Roman" w:hAnsi="Times New Roman"/>
                <w:sz w:val="22"/>
              </w:rPr>
              <w:t>iPhone 15</w:t>
            </w:r>
          </w:p>
        </w:tc>
      </w:tr>
      <w:tr>
        <w:tc>
          <w:tcPr>
            <w:tcW w:type="dxa" w:w="4320"/>
          </w:tcPr>
          <w:p>
            <w:r>
              <w:rPr>
                <w:rFonts w:ascii="Times New Roman" w:hAnsi="Times New Roman"/>
                <w:sz w:val="22"/>
              </w:rPr>
              <w:t>Operating System</w:t>
            </w:r>
          </w:p>
        </w:tc>
        <w:tc>
          <w:tcPr>
            <w:tcW w:type="dxa" w:w="4320"/>
          </w:tcPr>
          <w:p>
            <w:r>
              <w:rPr>
                <w:rFonts w:ascii="Times New Roman" w:hAnsi="Times New Roman"/>
                <w:sz w:val="22"/>
              </w:rPr>
              <w:t>iOS 26.1</w:t>
            </w:r>
          </w:p>
        </w:tc>
      </w:tr>
      <w:tr>
        <w:tc>
          <w:tcPr>
            <w:tcW w:type="dxa" w:w="4320"/>
          </w:tcPr>
          <w:p>
            <w:r>
              <w:rPr>
                <w:rFonts w:ascii="Times New Roman" w:hAnsi="Times New Roman"/>
                <w:sz w:val="22"/>
              </w:rPr>
              <w:t>Chipset / Processor</w:t>
            </w:r>
          </w:p>
        </w:tc>
        <w:tc>
          <w:tcPr>
            <w:tcW w:type="dxa" w:w="4320"/>
          </w:tcPr>
          <w:p>
            <w:r>
              <w:rPr>
                <w:rFonts w:ascii="Times New Roman" w:hAnsi="Times New Roman"/>
                <w:sz w:val="22"/>
              </w:rPr>
              <w:t>Apple A16 Bionic</w:t>
            </w:r>
          </w:p>
        </w:tc>
      </w:tr>
      <w:tr>
        <w:tc>
          <w:tcPr>
            <w:tcW w:type="dxa" w:w="4320"/>
          </w:tcPr>
          <w:p>
            <w:r>
              <w:rPr>
                <w:rFonts w:ascii="Times New Roman" w:hAnsi="Times New Roman"/>
                <w:sz w:val="22"/>
              </w:rPr>
              <w:t>Memory</w:t>
            </w:r>
          </w:p>
        </w:tc>
        <w:tc>
          <w:tcPr>
            <w:tcW w:type="dxa" w:w="4320"/>
          </w:tcPr>
          <w:p>
            <w:r>
              <w:rPr>
                <w:rFonts w:ascii="Times New Roman" w:hAnsi="Times New Roman"/>
                <w:sz w:val="22"/>
              </w:rPr>
              <w:t>6 GB RAM</w:t>
            </w:r>
          </w:p>
        </w:tc>
      </w:tr>
      <w:tr>
        <w:tc>
          <w:tcPr>
            <w:tcW w:type="dxa" w:w="4320"/>
          </w:tcPr>
          <w:p>
            <w:r>
              <w:rPr>
                <w:rFonts w:ascii="Times New Roman" w:hAnsi="Times New Roman"/>
                <w:sz w:val="22"/>
              </w:rPr>
              <w:t>Rear Camera</w:t>
            </w:r>
          </w:p>
        </w:tc>
        <w:tc>
          <w:tcPr>
            <w:tcW w:type="dxa" w:w="4320"/>
          </w:tcPr>
          <w:p>
            <w:r>
              <w:rPr>
                <w:rFonts w:ascii="Times New Roman" w:hAnsi="Times New Roman"/>
                <w:sz w:val="22"/>
              </w:rPr>
              <w:t>48 MP camera</w:t>
            </w:r>
          </w:p>
        </w:tc>
      </w:tr>
      <w:tr>
        <w:tc>
          <w:tcPr>
            <w:tcW w:type="dxa" w:w="4320"/>
          </w:tcPr>
          <w:p>
            <w:r>
              <w:rPr>
                <w:rFonts w:ascii="Times New Roman" w:hAnsi="Times New Roman"/>
                <w:sz w:val="22"/>
              </w:rPr>
              <w:t>Front Camera / Microphone</w:t>
            </w:r>
          </w:p>
        </w:tc>
        <w:tc>
          <w:tcPr>
            <w:tcW w:type="dxa" w:w="4320"/>
          </w:tcPr>
          <w:p>
            <w:r>
              <w:rPr>
                <w:rFonts w:ascii="Times New Roman" w:hAnsi="Times New Roman"/>
                <w:sz w:val="22"/>
              </w:rPr>
              <w:t>12 MP camera</w:t>
            </w:r>
          </w:p>
        </w:tc>
      </w:tr>
    </w:tbl>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Specification</w:t>
            </w:r>
          </w:p>
        </w:tc>
        <w:tc>
          <w:tcPr>
            <w:tcW w:type="dxa" w:w="4320"/>
          </w:tcPr>
          <w:p>
            <w:r>
              <w:rPr>
                <w:rFonts w:ascii="Times New Roman" w:hAnsi="Times New Roman"/>
                <w:b/>
                <w:sz w:val="22"/>
              </w:rPr>
              <w:t>Device #2 Value</w:t>
            </w:r>
          </w:p>
        </w:tc>
      </w:tr>
      <w:tr>
        <w:tc>
          <w:tcPr>
            <w:tcW w:type="dxa" w:w="4320"/>
          </w:tcPr>
          <w:p>
            <w:r>
              <w:rPr>
                <w:rFonts w:ascii="Times New Roman" w:hAnsi="Times New Roman"/>
                <w:sz w:val="22"/>
              </w:rPr>
              <w:t>Model</w:t>
            </w:r>
          </w:p>
        </w:tc>
        <w:tc>
          <w:tcPr>
            <w:tcW w:type="dxa" w:w="4320"/>
          </w:tcPr>
          <w:p>
            <w:r>
              <w:rPr>
                <w:rFonts w:ascii="Times New Roman" w:hAnsi="Times New Roman"/>
                <w:sz w:val="22"/>
              </w:rPr>
              <w:t>Redmi Note 12 Pro 5G</w:t>
            </w:r>
          </w:p>
        </w:tc>
      </w:tr>
      <w:tr>
        <w:tc>
          <w:tcPr>
            <w:tcW w:type="dxa" w:w="4320"/>
          </w:tcPr>
          <w:p>
            <w:r>
              <w:rPr>
                <w:rFonts w:ascii="Times New Roman" w:hAnsi="Times New Roman"/>
                <w:sz w:val="22"/>
              </w:rPr>
              <w:t>Operating System</w:t>
            </w:r>
          </w:p>
        </w:tc>
        <w:tc>
          <w:tcPr>
            <w:tcW w:type="dxa" w:w="4320"/>
          </w:tcPr>
          <w:p>
            <w:r>
              <w:rPr>
                <w:rFonts w:ascii="Times New Roman" w:hAnsi="Times New Roman"/>
                <w:sz w:val="22"/>
              </w:rPr>
              <w:t>MIUI 14</w:t>
            </w:r>
          </w:p>
        </w:tc>
      </w:tr>
      <w:tr>
        <w:tc>
          <w:tcPr>
            <w:tcW w:type="dxa" w:w="4320"/>
          </w:tcPr>
          <w:p>
            <w:r>
              <w:rPr>
                <w:rFonts w:ascii="Times New Roman" w:hAnsi="Times New Roman"/>
                <w:sz w:val="22"/>
              </w:rPr>
              <w:t>Chipset / Processor</w:t>
            </w:r>
          </w:p>
        </w:tc>
        <w:tc>
          <w:tcPr>
            <w:tcW w:type="dxa" w:w="4320"/>
          </w:tcPr>
          <w:p>
            <w:r>
              <w:rPr>
                <w:rFonts w:ascii="Times New Roman" w:hAnsi="Times New Roman"/>
                <w:sz w:val="22"/>
              </w:rPr>
              <w:t>MediaTek Dimensity 1080 (Octa-core, Mali-G68)</w:t>
            </w:r>
          </w:p>
        </w:tc>
      </w:tr>
      <w:tr>
        <w:tc>
          <w:tcPr>
            <w:tcW w:type="dxa" w:w="4320"/>
          </w:tcPr>
          <w:p>
            <w:r>
              <w:rPr>
                <w:rFonts w:ascii="Times New Roman" w:hAnsi="Times New Roman"/>
                <w:sz w:val="22"/>
              </w:rPr>
              <w:t>Memory</w:t>
            </w:r>
          </w:p>
        </w:tc>
        <w:tc>
          <w:tcPr>
            <w:tcW w:type="dxa" w:w="4320"/>
          </w:tcPr>
          <w:p>
            <w:r>
              <w:rPr>
                <w:rFonts w:ascii="Times New Roman" w:hAnsi="Times New Roman"/>
                <w:sz w:val="22"/>
              </w:rPr>
              <w:t>8 GB RAM</w:t>
            </w:r>
          </w:p>
        </w:tc>
      </w:tr>
      <w:tr>
        <w:tc>
          <w:tcPr>
            <w:tcW w:type="dxa" w:w="4320"/>
          </w:tcPr>
          <w:p>
            <w:r>
              <w:rPr>
                <w:rFonts w:ascii="Times New Roman" w:hAnsi="Times New Roman"/>
                <w:sz w:val="22"/>
              </w:rPr>
              <w:t>Rear Camera</w:t>
            </w:r>
          </w:p>
        </w:tc>
        <w:tc>
          <w:tcPr>
            <w:tcW w:type="dxa" w:w="4320"/>
          </w:tcPr>
          <w:p>
            <w:r>
              <w:rPr>
                <w:rFonts w:ascii="Times New Roman" w:hAnsi="Times New Roman"/>
                <w:sz w:val="22"/>
              </w:rPr>
              <w:t>50 MP wide + 8 MP ultra-wide + 2 MP macro</w:t>
            </w:r>
          </w:p>
        </w:tc>
      </w:tr>
      <w:tr>
        <w:tc>
          <w:tcPr>
            <w:tcW w:type="dxa" w:w="4320"/>
          </w:tcPr>
          <w:p>
            <w:r>
              <w:rPr>
                <w:rFonts w:ascii="Times New Roman" w:hAnsi="Times New Roman"/>
                <w:sz w:val="22"/>
              </w:rPr>
              <w:t>Front Camera / Microphone</w:t>
            </w:r>
          </w:p>
        </w:tc>
        <w:tc>
          <w:tcPr>
            <w:tcW w:type="dxa" w:w="4320"/>
          </w:tcPr>
          <w:p>
            <w:r>
              <w:rPr>
                <w:rFonts w:ascii="Times New Roman" w:hAnsi="Times New Roman"/>
                <w:sz w:val="22"/>
              </w:rPr>
              <w:t>16 MP front camera; Dolby Atmos audio</w:t>
            </w:r>
          </w:p>
        </w:tc>
      </w:tr>
    </w:tbl>
    <w:p/>
    <w:p>
      <w:pPr>
        <w:pStyle w:val="Heading2"/>
      </w:pPr>
      <w:r>
        <w:t>6.9 Test Cases</w:t>
      </w:r>
    </w:p>
    <w:p>
      <w:r>
        <w:rPr>
          <w:rFonts w:ascii="Times New Roman" w:hAnsi="Times New Roman"/>
          <w:sz w:val="24"/>
        </w:rPr>
        <w:t>Functional and inference test cases were executed on TBhon v1.2 using two mobile test devices (Device #1 and Device #2; specifications in Section 6.8) during field evaluation and UAT. Table 6.9.1 summarizes end-to-end screening workflow cases aligned with the six UAT tasks. Tables 6.9.2 and 6.9.3 summarize cough audio and sputum smear ML inference cases run through the production FastAPI endpoints (/check-quality, /predict, /predict-phlegm). Because ML inference is cloud-hosted, identical media inputs produced consistent API outputs on both devices; differences across devices were observed mainly in capture quality, upload time, and UI responsiveness.</w:t>
      </w:r>
    </w:p>
    <w:p>
      <w:r>
        <w:rPr>
          <w:rFonts w:ascii="Times New Roman" w:hAnsi="Times New Roman"/>
          <w:sz w:val="24"/>
        </w:rPr>
        <w:t>Table 6.9.1. End-to-End Screening Workflow Test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2"/>
              </w:rPr>
              <w:t>Test Case</w:t>
            </w:r>
          </w:p>
        </w:tc>
        <w:tc>
          <w:tcPr>
            <w:tcW w:type="dxa" w:w="1728"/>
          </w:tcPr>
          <w:p>
            <w:r>
              <w:rPr>
                <w:rFonts w:ascii="Times New Roman" w:hAnsi="Times New Roman"/>
                <w:b/>
                <w:sz w:val="22"/>
              </w:rPr>
              <w:t>Input / Condition</w:t>
            </w:r>
          </w:p>
        </w:tc>
        <w:tc>
          <w:tcPr>
            <w:tcW w:type="dxa" w:w="1728"/>
          </w:tcPr>
          <w:p>
            <w:r>
              <w:rPr>
                <w:rFonts w:ascii="Times New Roman" w:hAnsi="Times New Roman"/>
                <w:b/>
                <w:sz w:val="22"/>
              </w:rPr>
              <w:t>Expected Result</w:t>
            </w:r>
          </w:p>
        </w:tc>
        <w:tc>
          <w:tcPr>
            <w:tcW w:type="dxa" w:w="1728"/>
          </w:tcPr>
          <w:p>
            <w:r>
              <w:rPr>
                <w:rFonts w:ascii="Times New Roman" w:hAnsi="Times New Roman"/>
                <w:b/>
                <w:sz w:val="22"/>
              </w:rPr>
              <w:t>Device 1</w:t>
            </w:r>
          </w:p>
        </w:tc>
        <w:tc>
          <w:tcPr>
            <w:tcW w:type="dxa" w:w="1728"/>
          </w:tcPr>
          <w:p>
            <w:r>
              <w:rPr>
                <w:rFonts w:ascii="Times New Roman" w:hAnsi="Times New Roman"/>
                <w:b/>
                <w:sz w:val="22"/>
              </w:rPr>
              <w:t>Device 2</w:t>
            </w:r>
          </w:p>
        </w:tc>
      </w:tr>
      <w:tr>
        <w:tc>
          <w:tcPr>
            <w:tcW w:type="dxa" w:w="1728"/>
          </w:tcPr>
          <w:p>
            <w:r>
              <w:rPr>
                <w:rFonts w:ascii="Times New Roman" w:hAnsi="Times New Roman"/>
                <w:sz w:val="22"/>
              </w:rPr>
              <w:t>TC-01</w:t>
            </w:r>
          </w:p>
        </w:tc>
        <w:tc>
          <w:tcPr>
            <w:tcW w:type="dxa" w:w="1728"/>
          </w:tcPr>
          <w:p>
            <w:r>
              <w:rPr>
                <w:rFonts w:ascii="Times New Roman" w:hAnsi="Times New Roman"/>
                <w:sz w:val="22"/>
              </w:rPr>
              <w:t>Staff login and new walk-in screening session</w:t>
            </w:r>
          </w:p>
        </w:tc>
        <w:tc>
          <w:tcPr>
            <w:tcW w:type="dxa" w:w="1728"/>
          </w:tcPr>
          <w:p>
            <w:r>
              <w:rPr>
                <w:rFonts w:ascii="Times New Roman" w:hAnsi="Times New Roman"/>
                <w:sz w:val="22"/>
              </w:rPr>
              <w:t>Authenticated session created</w:t>
            </w:r>
          </w:p>
        </w:tc>
        <w:tc>
          <w:tcPr>
            <w:tcW w:type="dxa" w:w="1728"/>
          </w:tcPr>
          <w:p>
            <w:r>
              <w:rPr>
                <w:rFonts w:ascii="Times New Roman" w:hAnsi="Times New Roman"/>
                <w:sz w:val="22"/>
              </w:rPr>
              <w:t>Pass</w:t>
            </w:r>
          </w:p>
        </w:tc>
        <w:tc>
          <w:tcPr>
            <w:tcW w:type="dxa" w:w="1728"/>
          </w:tcPr>
          <w:p>
            <w:r>
              <w:rPr>
                <w:rFonts w:ascii="Times New Roman" w:hAnsi="Times New Roman"/>
                <w:sz w:val="22"/>
              </w:rPr>
              <w:t>Pass</w:t>
            </w:r>
          </w:p>
        </w:tc>
      </w:tr>
      <w:tr>
        <w:tc>
          <w:tcPr>
            <w:tcW w:type="dxa" w:w="1728"/>
          </w:tcPr>
          <w:p>
            <w:r>
              <w:rPr>
                <w:rFonts w:ascii="Times New Roman" w:hAnsi="Times New Roman"/>
                <w:sz w:val="22"/>
              </w:rPr>
              <w:t>TC-02</w:t>
            </w:r>
          </w:p>
        </w:tc>
        <w:tc>
          <w:tcPr>
            <w:tcW w:type="dxa" w:w="1728"/>
          </w:tcPr>
          <w:p>
            <w:r>
              <w:rPr>
                <w:rFonts w:ascii="Times New Roman" w:hAnsi="Times New Roman"/>
                <w:sz w:val="22"/>
              </w:rPr>
              <w:t>Client intake + 11-item symptom checklist</w:t>
            </w:r>
          </w:p>
        </w:tc>
        <w:tc>
          <w:tcPr>
            <w:tcW w:type="dxa" w:w="1728"/>
          </w:tcPr>
          <w:p>
            <w:r>
              <w:rPr>
                <w:rFonts w:ascii="Times New Roman" w:hAnsi="Times New Roman"/>
                <w:sz w:val="22"/>
              </w:rPr>
              <w:t>Checklist stored; concern level computed</w:t>
            </w:r>
          </w:p>
        </w:tc>
        <w:tc>
          <w:tcPr>
            <w:tcW w:type="dxa" w:w="1728"/>
          </w:tcPr>
          <w:p>
            <w:r>
              <w:rPr>
                <w:rFonts w:ascii="Times New Roman" w:hAnsi="Times New Roman"/>
                <w:sz w:val="22"/>
              </w:rPr>
              <w:t>Pass</w:t>
            </w:r>
          </w:p>
        </w:tc>
        <w:tc>
          <w:tcPr>
            <w:tcW w:type="dxa" w:w="1728"/>
          </w:tcPr>
          <w:p>
            <w:r>
              <w:rPr>
                <w:rFonts w:ascii="Times New Roman" w:hAnsi="Times New Roman"/>
                <w:sz w:val="22"/>
              </w:rPr>
              <w:t>Pass</w:t>
            </w:r>
          </w:p>
        </w:tc>
      </w:tr>
      <w:tr>
        <w:tc>
          <w:tcPr>
            <w:tcW w:type="dxa" w:w="1728"/>
          </w:tcPr>
          <w:p>
            <w:r>
              <w:rPr>
                <w:rFonts w:ascii="Times New Roman" w:hAnsi="Times New Roman"/>
                <w:sz w:val="22"/>
              </w:rPr>
              <w:t>TC-03</w:t>
            </w:r>
          </w:p>
        </w:tc>
        <w:tc>
          <w:tcPr>
            <w:tcW w:type="dxa" w:w="1728"/>
          </w:tcPr>
          <w:p>
            <w:r>
              <w:rPr>
                <w:rFonts w:ascii="Times New Roman" w:hAnsi="Times New Roman"/>
                <w:sz w:val="22"/>
              </w:rPr>
              <w:t>Record or upload 3 cough clips (mobile mic or IoT)</w:t>
            </w:r>
          </w:p>
        </w:tc>
        <w:tc>
          <w:tcPr>
            <w:tcW w:type="dxa" w:w="1728"/>
          </w:tcPr>
          <w:p>
            <w:r>
              <w:rPr>
                <w:rFonts w:ascii="Times New Roman" w:hAnsi="Times New Roman"/>
                <w:sz w:val="22"/>
              </w:rPr>
              <w:t>Cough ML probabilities returned for quality-valid clips</w:t>
            </w:r>
          </w:p>
        </w:tc>
        <w:tc>
          <w:tcPr>
            <w:tcW w:type="dxa" w:w="1728"/>
          </w:tcPr>
          <w:p>
            <w:r>
              <w:rPr>
                <w:rFonts w:ascii="Times New Roman" w:hAnsi="Times New Roman"/>
                <w:sz w:val="22"/>
              </w:rPr>
              <w:t>Pass</w:t>
            </w:r>
          </w:p>
        </w:tc>
        <w:tc>
          <w:tcPr>
            <w:tcW w:type="dxa" w:w="1728"/>
          </w:tcPr>
          <w:p>
            <w:r>
              <w:rPr>
                <w:rFonts w:ascii="Times New Roman" w:hAnsi="Times New Roman"/>
                <w:sz w:val="22"/>
              </w:rPr>
              <w:t>Pass</w:t>
            </w:r>
          </w:p>
        </w:tc>
      </w:tr>
      <w:tr>
        <w:tc>
          <w:tcPr>
            <w:tcW w:type="dxa" w:w="1728"/>
          </w:tcPr>
          <w:p>
            <w:r>
              <w:rPr>
                <w:rFonts w:ascii="Times New Roman" w:hAnsi="Times New Roman"/>
                <w:sz w:val="22"/>
              </w:rPr>
              <w:t>TC-04</w:t>
            </w:r>
          </w:p>
        </w:tc>
        <w:tc>
          <w:tcPr>
            <w:tcW w:type="dxa" w:w="1728"/>
          </w:tcPr>
          <w:p>
            <w:r>
              <w:rPr>
                <w:rFonts w:ascii="Times New Roman" w:hAnsi="Times New Roman"/>
                <w:sz w:val="22"/>
              </w:rPr>
              <w:t>Capture or upload sputum smear image</w:t>
            </w:r>
          </w:p>
        </w:tc>
        <w:tc>
          <w:tcPr>
            <w:tcW w:type="dxa" w:w="1728"/>
          </w:tcPr>
          <w:p>
            <w:r>
              <w:rPr>
                <w:rFonts w:ascii="Times New Roman" w:hAnsi="Times New Roman"/>
                <w:sz w:val="22"/>
              </w:rPr>
              <w:t>AFB binary classification stored on session</w:t>
            </w:r>
          </w:p>
        </w:tc>
        <w:tc>
          <w:tcPr>
            <w:tcW w:type="dxa" w:w="1728"/>
          </w:tcPr>
          <w:p>
            <w:r>
              <w:rPr>
                <w:rFonts w:ascii="Times New Roman" w:hAnsi="Times New Roman"/>
                <w:sz w:val="22"/>
              </w:rPr>
              <w:t>Pass</w:t>
            </w:r>
          </w:p>
        </w:tc>
        <w:tc>
          <w:tcPr>
            <w:tcW w:type="dxa" w:w="1728"/>
          </w:tcPr>
          <w:p>
            <w:r>
              <w:rPr>
                <w:rFonts w:ascii="Times New Roman" w:hAnsi="Times New Roman"/>
                <w:sz w:val="22"/>
              </w:rPr>
              <w:t>Pass</w:t>
            </w:r>
          </w:p>
        </w:tc>
      </w:tr>
      <w:tr>
        <w:tc>
          <w:tcPr>
            <w:tcW w:type="dxa" w:w="1728"/>
          </w:tcPr>
          <w:p>
            <w:r>
              <w:rPr>
                <w:rFonts w:ascii="Times New Roman" w:hAnsi="Times New Roman"/>
                <w:sz w:val="22"/>
              </w:rPr>
              <w:t>TC-05</w:t>
            </w:r>
          </w:p>
        </w:tc>
        <w:tc>
          <w:tcPr>
            <w:tcW w:type="dxa" w:w="1728"/>
          </w:tcPr>
          <w:p>
            <w:r>
              <w:rPr>
                <w:rFonts w:ascii="Times New Roman" w:hAnsi="Times New Roman"/>
                <w:sz w:val="22"/>
              </w:rPr>
              <w:t>Review ML outputs and fused triage risk (Low / Moderate / High)</w:t>
            </w:r>
          </w:p>
        </w:tc>
        <w:tc>
          <w:tcPr>
            <w:tcW w:type="dxa" w:w="1728"/>
          </w:tcPr>
          <w:p>
            <w:r>
              <w:rPr>
                <w:rFonts w:ascii="Times New Roman" w:hAnsi="Times New Roman"/>
                <w:sz w:val="22"/>
              </w:rPr>
              <w:t>Fused prob_tb, risk level, disclaimer, and referral text shown</w:t>
            </w:r>
          </w:p>
        </w:tc>
        <w:tc>
          <w:tcPr>
            <w:tcW w:type="dxa" w:w="1728"/>
          </w:tcPr>
          <w:p>
            <w:r>
              <w:rPr>
                <w:rFonts w:ascii="Times New Roman" w:hAnsi="Times New Roman"/>
                <w:sz w:val="22"/>
              </w:rPr>
              <w:t>Pass</w:t>
            </w:r>
          </w:p>
        </w:tc>
        <w:tc>
          <w:tcPr>
            <w:tcW w:type="dxa" w:w="1728"/>
          </w:tcPr>
          <w:p>
            <w:r>
              <w:rPr>
                <w:rFonts w:ascii="Times New Roman" w:hAnsi="Times New Roman"/>
                <w:sz w:val="22"/>
              </w:rPr>
              <w:t>Pass</w:t>
            </w:r>
          </w:p>
        </w:tc>
      </w:tr>
      <w:tr>
        <w:tc>
          <w:tcPr>
            <w:tcW w:type="dxa" w:w="1728"/>
          </w:tcPr>
          <w:p>
            <w:r>
              <w:rPr>
                <w:rFonts w:ascii="Times New Roman" w:hAnsi="Times New Roman"/>
                <w:sz w:val="22"/>
              </w:rPr>
              <w:t>TC-06</w:t>
            </w:r>
          </w:p>
        </w:tc>
        <w:tc>
          <w:tcPr>
            <w:tcW w:type="dxa" w:w="1728"/>
          </w:tcPr>
          <w:p>
            <w:r>
              <w:rPr>
                <w:rFonts w:ascii="Times New Roman" w:hAnsi="Times New Roman"/>
                <w:sz w:val="22"/>
              </w:rPr>
              <w:t>Screening history retrieval and patient QR result claim</w:t>
            </w:r>
          </w:p>
        </w:tc>
        <w:tc>
          <w:tcPr>
            <w:tcW w:type="dxa" w:w="1728"/>
          </w:tcPr>
          <w:p>
            <w:r>
              <w:rPr>
                <w:rFonts w:ascii="Times New Roman" w:hAnsi="Times New Roman"/>
                <w:sz w:val="22"/>
              </w:rPr>
              <w:t>Past session detail and playback accessible</w:t>
            </w:r>
          </w:p>
        </w:tc>
        <w:tc>
          <w:tcPr>
            <w:tcW w:type="dxa" w:w="1728"/>
          </w:tcPr>
          <w:p>
            <w:r>
              <w:rPr>
                <w:rFonts w:ascii="Times New Roman" w:hAnsi="Times New Roman"/>
                <w:sz w:val="22"/>
              </w:rPr>
              <w:t>Pass</w:t>
            </w:r>
          </w:p>
        </w:tc>
        <w:tc>
          <w:tcPr>
            <w:tcW w:type="dxa" w:w="1728"/>
          </w:tcPr>
          <w:p>
            <w:r>
              <w:rPr>
                <w:rFonts w:ascii="Times New Roman" w:hAnsi="Times New Roman"/>
                <w:sz w:val="22"/>
              </w:rPr>
              <w:t>Pass</w:t>
            </w:r>
          </w:p>
        </w:tc>
      </w:tr>
    </w:tbl>
    <w:p/>
    <w:p>
      <w:r>
        <w:rPr>
          <w:rFonts w:ascii="Times New Roman" w:hAnsi="Times New Roman"/>
          <w:sz w:val="24"/>
        </w:rPr>
        <w:t>Table 6.9.2. Cough Audio ML Inference Test Case Summary. Synthetic and validation cough WAV files were submitted to the hybrid CNN+GBM classifier with quality gating.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2"/>
              </w:rPr>
              <w:t>Case</w:t>
            </w:r>
          </w:p>
        </w:tc>
        <w:tc>
          <w:tcPr>
            <w:tcW w:type="dxa" w:w="1440"/>
          </w:tcPr>
          <w:p>
            <w:r>
              <w:rPr>
                <w:rFonts w:ascii="Times New Roman" w:hAnsi="Times New Roman"/>
                <w:b/>
                <w:sz w:val="22"/>
              </w:rPr>
              <w:t>Input File</w:t>
            </w:r>
          </w:p>
        </w:tc>
        <w:tc>
          <w:tcPr>
            <w:tcW w:type="dxa" w:w="1440"/>
          </w:tcPr>
          <w:p>
            <w:r>
              <w:rPr>
                <w:rFonts w:ascii="Times New Roman" w:hAnsi="Times New Roman"/>
                <w:b/>
                <w:sz w:val="22"/>
              </w:rPr>
              <w:t>Size</w:t>
            </w:r>
          </w:p>
        </w:tc>
        <w:tc>
          <w:tcPr>
            <w:tcW w:type="dxa" w:w="1440"/>
          </w:tcPr>
          <w:p>
            <w:r>
              <w:rPr>
                <w:rFonts w:ascii="Times New Roman" w:hAnsi="Times New Roman"/>
                <w:b/>
                <w:sz w:val="22"/>
              </w:rPr>
              <w:t>Expected Result</w:t>
            </w:r>
          </w:p>
        </w:tc>
        <w:tc>
          <w:tcPr>
            <w:tcW w:type="dxa" w:w="1440"/>
          </w:tcPr>
          <w:p>
            <w:r>
              <w:rPr>
                <w:rFonts w:ascii="Times New Roman" w:hAnsi="Times New Roman"/>
                <w:b/>
                <w:sz w:val="22"/>
              </w:rPr>
              <w:t>Device 1</w:t>
            </w:r>
          </w:p>
        </w:tc>
        <w:tc>
          <w:tcPr>
            <w:tcW w:type="dxa" w:w="1440"/>
          </w:tcPr>
          <w:p>
            <w:r>
              <w:rPr>
                <w:rFonts w:ascii="Times New Roman" w:hAnsi="Times New Roman"/>
                <w:b/>
                <w:sz w:val="22"/>
              </w:rPr>
              <w:t>Device 2</w:t>
            </w:r>
          </w:p>
        </w:tc>
      </w:tr>
      <w:tr>
        <w:tc>
          <w:tcPr>
            <w:tcW w:type="dxa" w:w="1440"/>
          </w:tcPr>
          <w:p>
            <w:r>
              <w:rPr>
                <w:rFonts w:ascii="Times New Roman" w:hAnsi="Times New Roman"/>
                <w:sz w:val="22"/>
              </w:rPr>
              <w:t>1</w:t>
            </w:r>
          </w:p>
        </w:tc>
        <w:tc>
          <w:tcPr>
            <w:tcW w:type="dxa" w:w="1440"/>
          </w:tcPr>
          <w:p>
            <w:r>
              <w:rPr>
                <w:rFonts w:ascii="Times New Roman" w:hAnsi="Times New Roman"/>
                <w:sz w:val="22"/>
              </w:rPr>
              <w:t>cough_early_burst.wav</w:t>
            </w:r>
          </w:p>
        </w:tc>
        <w:tc>
          <w:tcPr>
            <w:tcW w:type="dxa" w:w="1440"/>
          </w:tcPr>
          <w:p>
            <w:r>
              <w:rPr>
                <w:rFonts w:ascii="Times New Roman" w:hAnsi="Times New Roman"/>
                <w:sz w:val="22"/>
              </w:rPr>
              <w:t>218 KB</w:t>
            </w:r>
          </w:p>
        </w:tc>
        <w:tc>
          <w:tcPr>
            <w:tcW w:type="dxa" w:w="1440"/>
          </w:tcPr>
          <w:p>
            <w:r>
              <w:rPr>
                <w:rFonts w:ascii="Times New Roman" w:hAnsi="Times New Roman"/>
                <w:sz w:val="22"/>
              </w:rPr>
              <w:t>Valid cough — TB probability returned</w:t>
            </w:r>
          </w:p>
        </w:tc>
        <w:tc>
          <w:tcPr>
            <w:tcW w:type="dxa" w:w="1440"/>
          </w:tcPr>
          <w:p>
            <w:r>
              <w:rPr>
                <w:rFonts w:ascii="Times New Roman" w:hAnsi="Times New Roman"/>
                <w:sz w:val="22"/>
              </w:rPr>
              <w:t>quality=ok; prob_tb=48.6%</w:t>
            </w:r>
          </w:p>
        </w:tc>
        <w:tc>
          <w:tcPr>
            <w:tcW w:type="dxa" w:w="1440"/>
          </w:tcPr>
          <w:p>
            <w:r>
              <w:rPr>
                <w:rFonts w:ascii="Times New Roman" w:hAnsi="Times New Roman"/>
                <w:sz w:val="22"/>
              </w:rPr>
              <w:t>quality=ok; prob_tb=48.6%</w:t>
            </w:r>
          </w:p>
        </w:tc>
      </w:tr>
      <w:tr>
        <w:tc>
          <w:tcPr>
            <w:tcW w:type="dxa" w:w="1440"/>
          </w:tcPr>
          <w:p>
            <w:r>
              <w:rPr>
                <w:rFonts w:ascii="Times New Roman" w:hAnsi="Times New Roman"/>
                <w:sz w:val="22"/>
              </w:rPr>
              <w:t>2</w:t>
            </w:r>
          </w:p>
        </w:tc>
        <w:tc>
          <w:tcPr>
            <w:tcW w:type="dxa" w:w="1440"/>
          </w:tcPr>
          <w:p>
            <w:r>
              <w:rPr>
                <w:rFonts w:ascii="Times New Roman" w:hAnsi="Times New Roman"/>
                <w:sz w:val="22"/>
              </w:rPr>
              <w:t>steady_noise.wav</w:t>
            </w:r>
          </w:p>
        </w:tc>
        <w:tc>
          <w:tcPr>
            <w:tcW w:type="dxa" w:w="1440"/>
          </w:tcPr>
          <w:p>
            <w:r>
              <w:rPr>
                <w:rFonts w:ascii="Times New Roman" w:hAnsi="Times New Roman"/>
                <w:sz w:val="22"/>
              </w:rPr>
              <w:t>187 KB</w:t>
            </w:r>
          </w:p>
        </w:tc>
        <w:tc>
          <w:tcPr>
            <w:tcW w:type="dxa" w:w="1440"/>
          </w:tcPr>
          <w:p>
            <w:r>
              <w:rPr>
                <w:rFonts w:ascii="Times New Roman" w:hAnsi="Times New Roman"/>
                <w:sz w:val="22"/>
              </w:rPr>
              <w:t>Quality fail — excluded from fusion</w:t>
            </w:r>
          </w:p>
        </w:tc>
        <w:tc>
          <w:tcPr>
            <w:tcW w:type="dxa" w:w="1440"/>
          </w:tcPr>
          <w:p>
            <w:r>
              <w:rPr>
                <w:rFonts w:ascii="Times New Roman" w:hAnsi="Times New Roman"/>
                <w:sz w:val="22"/>
              </w:rPr>
              <w:t>Rejected (noise); excluded from fusion</w:t>
            </w:r>
          </w:p>
        </w:tc>
        <w:tc>
          <w:tcPr>
            <w:tcW w:type="dxa" w:w="1440"/>
          </w:tcPr>
          <w:p>
            <w:r>
              <w:rPr>
                <w:rFonts w:ascii="Times New Roman" w:hAnsi="Times New Roman"/>
                <w:sz w:val="22"/>
              </w:rPr>
              <w:t>Rejected (noise); excluded from fusion</w:t>
            </w:r>
          </w:p>
        </w:tc>
      </w:tr>
      <w:tr>
        <w:tc>
          <w:tcPr>
            <w:tcW w:type="dxa" w:w="1440"/>
          </w:tcPr>
          <w:p>
            <w:r>
              <w:rPr>
                <w:rFonts w:ascii="Times New Roman" w:hAnsi="Times New Roman"/>
                <w:sz w:val="22"/>
              </w:rPr>
              <w:t>3</w:t>
            </w:r>
          </w:p>
        </w:tc>
        <w:tc>
          <w:tcPr>
            <w:tcW w:type="dxa" w:w="1440"/>
          </w:tcPr>
          <w:p>
            <w:r>
              <w:rPr>
                <w:rFonts w:ascii="Times New Roman" w:hAnsi="Times New Roman"/>
                <w:sz w:val="22"/>
              </w:rPr>
              <w:t>quiet.wav</w:t>
            </w:r>
          </w:p>
        </w:tc>
        <w:tc>
          <w:tcPr>
            <w:tcW w:type="dxa" w:w="1440"/>
          </w:tcPr>
          <w:p>
            <w:r>
              <w:rPr>
                <w:rFonts w:ascii="Times New Roman" w:hAnsi="Times New Roman"/>
                <w:sz w:val="22"/>
              </w:rPr>
              <w:t>125 KB</w:t>
            </w:r>
          </w:p>
        </w:tc>
        <w:tc>
          <w:tcPr>
            <w:tcW w:type="dxa" w:w="1440"/>
          </w:tcPr>
          <w:p>
            <w:r>
              <w:rPr>
                <w:rFonts w:ascii="Times New Roman" w:hAnsi="Times New Roman"/>
                <w:sz w:val="22"/>
              </w:rPr>
              <w:t>Quality fail — excluded from fusion</w:t>
            </w:r>
          </w:p>
        </w:tc>
        <w:tc>
          <w:tcPr>
            <w:tcW w:type="dxa" w:w="1440"/>
          </w:tcPr>
          <w:p>
            <w:r>
              <w:rPr>
                <w:rFonts w:ascii="Times New Roman" w:hAnsi="Times New Roman"/>
                <w:sz w:val="22"/>
              </w:rPr>
              <w:t>Rejected (silence); excluded from fusion</w:t>
            </w:r>
          </w:p>
        </w:tc>
        <w:tc>
          <w:tcPr>
            <w:tcW w:type="dxa" w:w="1440"/>
          </w:tcPr>
          <w:p>
            <w:r>
              <w:rPr>
                <w:rFonts w:ascii="Times New Roman" w:hAnsi="Times New Roman"/>
                <w:sz w:val="22"/>
              </w:rPr>
              <w:t>Rejected (silence); excluded from fusion</w:t>
            </w:r>
          </w:p>
        </w:tc>
      </w:tr>
      <w:tr>
        <w:tc>
          <w:tcPr>
            <w:tcW w:type="dxa" w:w="1440"/>
          </w:tcPr>
          <w:p>
            <w:r>
              <w:rPr>
                <w:rFonts w:ascii="Times New Roman" w:hAnsi="Times New Roman"/>
                <w:sz w:val="22"/>
              </w:rPr>
              <w:t>4</w:t>
            </w:r>
          </w:p>
        </w:tc>
        <w:tc>
          <w:tcPr>
            <w:tcW w:type="dxa" w:w="1440"/>
          </w:tcPr>
          <w:p>
            <w:r>
              <w:rPr>
                <w:rFonts w:ascii="Times New Roman" w:hAnsi="Times New Roman"/>
                <w:sz w:val="22"/>
              </w:rPr>
              <w:t>speech.wav</w:t>
            </w:r>
          </w:p>
        </w:tc>
        <w:tc>
          <w:tcPr>
            <w:tcW w:type="dxa" w:w="1440"/>
          </w:tcPr>
          <w:p>
            <w:r>
              <w:rPr>
                <w:rFonts w:ascii="Times New Roman" w:hAnsi="Times New Roman"/>
                <w:sz w:val="22"/>
              </w:rPr>
              <w:t>187 KB</w:t>
            </w:r>
          </w:p>
        </w:tc>
        <w:tc>
          <w:tcPr>
            <w:tcW w:type="dxa" w:w="1440"/>
          </w:tcPr>
          <w:p>
            <w:r>
              <w:rPr>
                <w:rFonts w:ascii="Times New Roman" w:hAnsi="Times New Roman"/>
                <w:sz w:val="22"/>
              </w:rPr>
              <w:t>Quality fail — excluded from fusion</w:t>
            </w:r>
          </w:p>
        </w:tc>
        <w:tc>
          <w:tcPr>
            <w:tcW w:type="dxa" w:w="1440"/>
          </w:tcPr>
          <w:p>
            <w:r>
              <w:rPr>
                <w:rFonts w:ascii="Times New Roman" w:hAnsi="Times New Roman"/>
                <w:sz w:val="22"/>
              </w:rPr>
              <w:t>Rejected (replay); excluded from fusion</w:t>
            </w:r>
          </w:p>
        </w:tc>
        <w:tc>
          <w:tcPr>
            <w:tcW w:type="dxa" w:w="1440"/>
          </w:tcPr>
          <w:p>
            <w:r>
              <w:rPr>
                <w:rFonts w:ascii="Times New Roman" w:hAnsi="Times New Roman"/>
                <w:sz w:val="22"/>
              </w:rPr>
              <w:t>Rejected (replay); excluded from fusion</w:t>
            </w:r>
          </w:p>
        </w:tc>
      </w:tr>
    </w:tbl>
    <w:p/>
    <w:p>
      <w:r>
        <w:rPr>
          <w:rFonts w:ascii="Times New Roman" w:hAnsi="Times New Roman"/>
          <w:sz w:val="24"/>
        </w:rPr>
        <w:t>Table 6.9.3. Sputum Smear ML Inference Test Case Summary. Held-out test-set smear images were submitted to the ResNet18 AFB binary classifier.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22"/>
              </w:rPr>
              <w:t>Case</w:t>
            </w:r>
          </w:p>
        </w:tc>
        <w:tc>
          <w:tcPr>
            <w:tcW w:type="dxa" w:w="1234"/>
          </w:tcPr>
          <w:p>
            <w:r>
              <w:rPr>
                <w:rFonts w:ascii="Times New Roman" w:hAnsi="Times New Roman"/>
                <w:b/>
                <w:sz w:val="22"/>
              </w:rPr>
              <w:t>Input Image</w:t>
            </w:r>
          </w:p>
        </w:tc>
        <w:tc>
          <w:tcPr>
            <w:tcW w:type="dxa" w:w="1234"/>
          </w:tcPr>
          <w:p>
            <w:r>
              <w:rPr>
                <w:rFonts w:ascii="Times New Roman" w:hAnsi="Times New Roman"/>
                <w:b/>
                <w:sz w:val="22"/>
              </w:rPr>
              <w:t>Resolution</w:t>
            </w:r>
          </w:p>
        </w:tc>
        <w:tc>
          <w:tcPr>
            <w:tcW w:type="dxa" w:w="1234"/>
          </w:tcPr>
          <w:p>
            <w:r>
              <w:rPr>
                <w:rFonts w:ascii="Times New Roman" w:hAnsi="Times New Roman"/>
                <w:b/>
                <w:sz w:val="22"/>
              </w:rPr>
              <w:t>Size</w:t>
            </w:r>
          </w:p>
        </w:tc>
        <w:tc>
          <w:tcPr>
            <w:tcW w:type="dxa" w:w="1234"/>
          </w:tcPr>
          <w:p>
            <w:r>
              <w:rPr>
                <w:rFonts w:ascii="Times New Roman" w:hAnsi="Times New Roman"/>
                <w:b/>
                <w:sz w:val="22"/>
              </w:rPr>
              <w:t>Expected</w:t>
            </w:r>
          </w:p>
        </w:tc>
        <w:tc>
          <w:tcPr>
            <w:tcW w:type="dxa" w:w="1234"/>
          </w:tcPr>
          <w:p>
            <w:r>
              <w:rPr>
                <w:rFonts w:ascii="Times New Roman" w:hAnsi="Times New Roman"/>
                <w:b/>
                <w:sz w:val="22"/>
              </w:rPr>
              <w:t>Device 1</w:t>
            </w:r>
          </w:p>
        </w:tc>
        <w:tc>
          <w:tcPr>
            <w:tcW w:type="dxa" w:w="1234"/>
          </w:tcPr>
          <w:p>
            <w:r>
              <w:rPr>
                <w:rFonts w:ascii="Times New Roman" w:hAnsi="Times New Roman"/>
                <w:b/>
                <w:sz w:val="22"/>
              </w:rPr>
              <w:t>Device 2</w:t>
            </w:r>
          </w:p>
        </w:tc>
      </w:tr>
      <w:tr>
        <w:tc>
          <w:tcPr>
            <w:tcW w:type="dxa" w:w="1234"/>
          </w:tcPr>
          <w:p>
            <w:r>
              <w:rPr>
                <w:rFonts w:ascii="Times New Roman" w:hAnsi="Times New Roman"/>
                <w:sz w:val="22"/>
              </w:rPr>
              <w:t>1</w:t>
            </w:r>
          </w:p>
        </w:tc>
        <w:tc>
          <w:tcPr>
            <w:tcW w:type="dxa" w:w="1234"/>
          </w:tcPr>
          <w:p>
            <w:r>
              <w:rPr>
                <w:rFonts w:ascii="Times New Roman" w:hAnsi="Times New Roman"/>
                <w:sz w:val="22"/>
              </w:rPr>
              <w:t>sputum_test_0001.jpg</w:t>
            </w:r>
          </w:p>
        </w:tc>
        <w:tc>
          <w:tcPr>
            <w:tcW w:type="dxa" w:w="1234"/>
          </w:tcPr>
          <w:p>
            <w:r>
              <w:rPr>
                <w:rFonts w:ascii="Times New Roman" w:hAnsi="Times New Roman"/>
                <w:sz w:val="22"/>
              </w:rPr>
              <w:t>1632 × 1224</w:t>
            </w:r>
          </w:p>
        </w:tc>
        <w:tc>
          <w:tcPr>
            <w:tcW w:type="dxa" w:w="1234"/>
          </w:tcPr>
          <w:p>
            <w:r>
              <w:rPr>
                <w:rFonts w:ascii="Times New Roman" w:hAnsi="Times New Roman"/>
                <w:sz w:val="22"/>
              </w:rPr>
              <w:t>217 KB</w:t>
            </w:r>
          </w:p>
        </w:tc>
        <w:tc>
          <w:tcPr>
            <w:tcW w:type="dxa" w:w="1234"/>
          </w:tcPr>
          <w:p>
            <w:r>
              <w:rPr>
                <w:rFonts w:ascii="Times New Roman" w:hAnsi="Times New Roman"/>
                <w:sz w:val="22"/>
              </w:rPr>
              <w:t>AFB-positive</w:t>
            </w:r>
          </w:p>
        </w:tc>
        <w:tc>
          <w:tcPr>
            <w:tcW w:type="dxa" w:w="1234"/>
          </w:tcPr>
          <w:p>
            <w:r>
              <w:rPr>
                <w:rFonts w:ascii="Times New Roman" w:hAnsi="Times New Roman"/>
                <w:sz w:val="22"/>
              </w:rPr>
              <w:t>afb_positive, 98.1% confidence</w:t>
            </w:r>
          </w:p>
        </w:tc>
        <w:tc>
          <w:tcPr>
            <w:tcW w:type="dxa" w:w="1234"/>
          </w:tcPr>
          <w:p>
            <w:r>
              <w:rPr>
                <w:rFonts w:ascii="Times New Roman" w:hAnsi="Times New Roman"/>
                <w:sz w:val="22"/>
              </w:rPr>
              <w:t>afb_positive, 98.1% confidence</w:t>
            </w:r>
          </w:p>
        </w:tc>
      </w:tr>
      <w:tr>
        <w:tc>
          <w:tcPr>
            <w:tcW w:type="dxa" w:w="1234"/>
          </w:tcPr>
          <w:p>
            <w:r>
              <w:rPr>
                <w:rFonts w:ascii="Times New Roman" w:hAnsi="Times New Roman"/>
                <w:sz w:val="22"/>
              </w:rPr>
              <w:t>2</w:t>
            </w:r>
          </w:p>
        </w:tc>
        <w:tc>
          <w:tcPr>
            <w:tcW w:type="dxa" w:w="1234"/>
          </w:tcPr>
          <w:p>
            <w:r>
              <w:rPr>
                <w:rFonts w:ascii="Times New Roman" w:hAnsi="Times New Roman"/>
                <w:sz w:val="22"/>
              </w:rPr>
              <w:t>sputum_test_0006.jpg</w:t>
            </w:r>
          </w:p>
        </w:tc>
        <w:tc>
          <w:tcPr>
            <w:tcW w:type="dxa" w:w="1234"/>
          </w:tcPr>
          <w:p>
            <w:r>
              <w:rPr>
                <w:rFonts w:ascii="Times New Roman" w:hAnsi="Times New Roman"/>
                <w:sz w:val="22"/>
              </w:rPr>
              <w:t>1632 × 1224</w:t>
            </w:r>
          </w:p>
        </w:tc>
        <w:tc>
          <w:tcPr>
            <w:tcW w:type="dxa" w:w="1234"/>
          </w:tcPr>
          <w:p>
            <w:r>
              <w:rPr>
                <w:rFonts w:ascii="Times New Roman" w:hAnsi="Times New Roman"/>
                <w:sz w:val="22"/>
              </w:rPr>
              <w:t>228 KB</w:t>
            </w:r>
          </w:p>
        </w:tc>
        <w:tc>
          <w:tcPr>
            <w:tcW w:type="dxa" w:w="1234"/>
          </w:tcPr>
          <w:p>
            <w:r>
              <w:rPr>
                <w:rFonts w:ascii="Times New Roman" w:hAnsi="Times New Roman"/>
                <w:sz w:val="22"/>
              </w:rPr>
              <w:t>AFB-positive</w:t>
            </w:r>
          </w:p>
        </w:tc>
        <w:tc>
          <w:tcPr>
            <w:tcW w:type="dxa" w:w="1234"/>
          </w:tcPr>
          <w:p>
            <w:r>
              <w:rPr>
                <w:rFonts w:ascii="Times New Roman" w:hAnsi="Times New Roman"/>
                <w:sz w:val="22"/>
              </w:rPr>
              <w:t>afb_positive, 79.5% confidence</w:t>
            </w:r>
          </w:p>
        </w:tc>
        <w:tc>
          <w:tcPr>
            <w:tcW w:type="dxa" w:w="1234"/>
          </w:tcPr>
          <w:p>
            <w:r>
              <w:rPr>
                <w:rFonts w:ascii="Times New Roman" w:hAnsi="Times New Roman"/>
                <w:sz w:val="22"/>
              </w:rPr>
              <w:t>afb_positive, 79.5% confidence</w:t>
            </w:r>
          </w:p>
        </w:tc>
      </w:tr>
      <w:tr>
        <w:tc>
          <w:tcPr>
            <w:tcW w:type="dxa" w:w="1234"/>
          </w:tcPr>
          <w:p>
            <w:r>
              <w:rPr>
                <w:rFonts w:ascii="Times New Roman" w:hAnsi="Times New Roman"/>
                <w:sz w:val="22"/>
              </w:rPr>
              <w:t>3</w:t>
            </w:r>
          </w:p>
        </w:tc>
        <w:tc>
          <w:tcPr>
            <w:tcW w:type="dxa" w:w="1234"/>
          </w:tcPr>
          <w:p>
            <w:r>
              <w:rPr>
                <w:rFonts w:ascii="Times New Roman" w:hAnsi="Times New Roman"/>
                <w:sz w:val="22"/>
              </w:rPr>
              <w:t>sputum_test_0033.jpg</w:t>
            </w:r>
          </w:p>
        </w:tc>
        <w:tc>
          <w:tcPr>
            <w:tcW w:type="dxa" w:w="1234"/>
          </w:tcPr>
          <w:p>
            <w:r>
              <w:rPr>
                <w:rFonts w:ascii="Times New Roman" w:hAnsi="Times New Roman"/>
                <w:sz w:val="22"/>
              </w:rPr>
              <w:t>1632 × 1224</w:t>
            </w:r>
          </w:p>
        </w:tc>
        <w:tc>
          <w:tcPr>
            <w:tcW w:type="dxa" w:w="1234"/>
          </w:tcPr>
          <w:p>
            <w:r>
              <w:rPr>
                <w:rFonts w:ascii="Times New Roman" w:hAnsi="Times New Roman"/>
                <w:sz w:val="22"/>
              </w:rPr>
              <w:t>271 KB</w:t>
            </w:r>
          </w:p>
        </w:tc>
        <w:tc>
          <w:tcPr>
            <w:tcW w:type="dxa" w:w="1234"/>
          </w:tcPr>
          <w:p>
            <w:r>
              <w:rPr>
                <w:rFonts w:ascii="Times New Roman" w:hAnsi="Times New Roman"/>
                <w:sz w:val="22"/>
              </w:rPr>
              <w:t>AFB-negative</w:t>
            </w:r>
          </w:p>
        </w:tc>
        <w:tc>
          <w:tcPr>
            <w:tcW w:type="dxa" w:w="1234"/>
          </w:tcPr>
          <w:p>
            <w:r>
              <w:rPr>
                <w:rFonts w:ascii="Times New Roman" w:hAnsi="Times New Roman"/>
                <w:sz w:val="22"/>
              </w:rPr>
              <w:t>afb_negative, 50.2% confidence</w:t>
            </w:r>
          </w:p>
        </w:tc>
        <w:tc>
          <w:tcPr>
            <w:tcW w:type="dxa" w:w="1234"/>
          </w:tcPr>
          <w:p>
            <w:r>
              <w:rPr>
                <w:rFonts w:ascii="Times New Roman" w:hAnsi="Times New Roman"/>
                <w:sz w:val="22"/>
              </w:rPr>
              <w:t>afb_negative, 50.2% confidence</w:t>
            </w:r>
          </w:p>
        </w:tc>
      </w:tr>
      <w:tr>
        <w:tc>
          <w:tcPr>
            <w:tcW w:type="dxa" w:w="1234"/>
          </w:tcPr>
          <w:p>
            <w:r>
              <w:rPr>
                <w:rFonts w:ascii="Times New Roman" w:hAnsi="Times New Roman"/>
                <w:sz w:val="22"/>
              </w:rPr>
              <w:t>4</w:t>
            </w:r>
          </w:p>
        </w:tc>
        <w:tc>
          <w:tcPr>
            <w:tcW w:type="dxa" w:w="1234"/>
          </w:tcPr>
          <w:p>
            <w:r>
              <w:rPr>
                <w:rFonts w:ascii="Times New Roman" w:hAnsi="Times New Roman"/>
                <w:sz w:val="22"/>
              </w:rPr>
              <w:t>sputum_test_0100.jpg</w:t>
            </w:r>
          </w:p>
        </w:tc>
        <w:tc>
          <w:tcPr>
            <w:tcW w:type="dxa" w:w="1234"/>
          </w:tcPr>
          <w:p>
            <w:r>
              <w:rPr>
                <w:rFonts w:ascii="Times New Roman" w:hAnsi="Times New Roman"/>
                <w:sz w:val="22"/>
              </w:rPr>
              <w:t>1632 × 1224</w:t>
            </w:r>
          </w:p>
        </w:tc>
        <w:tc>
          <w:tcPr>
            <w:tcW w:type="dxa" w:w="1234"/>
          </w:tcPr>
          <w:p>
            <w:r>
              <w:rPr>
                <w:rFonts w:ascii="Times New Roman" w:hAnsi="Times New Roman"/>
                <w:sz w:val="22"/>
              </w:rPr>
              <w:t>194 KB</w:t>
            </w:r>
          </w:p>
        </w:tc>
        <w:tc>
          <w:tcPr>
            <w:tcW w:type="dxa" w:w="1234"/>
          </w:tcPr>
          <w:p>
            <w:r>
              <w:rPr>
                <w:rFonts w:ascii="Times New Roman" w:hAnsi="Times New Roman"/>
                <w:sz w:val="22"/>
              </w:rPr>
              <w:t>AFB-positive</w:t>
            </w:r>
          </w:p>
        </w:tc>
        <w:tc>
          <w:tcPr>
            <w:tcW w:type="dxa" w:w="1234"/>
          </w:tcPr>
          <w:p>
            <w:r>
              <w:rPr>
                <w:rFonts w:ascii="Times New Roman" w:hAnsi="Times New Roman"/>
                <w:sz w:val="22"/>
              </w:rPr>
              <w:t>afb_positive, 76.9% confidence</w:t>
            </w:r>
          </w:p>
        </w:tc>
        <w:tc>
          <w:tcPr>
            <w:tcW w:type="dxa" w:w="1234"/>
          </w:tcPr>
          <w:p>
            <w:r>
              <w:rPr>
                <w:rFonts w:ascii="Times New Roman" w:hAnsi="Times New Roman"/>
                <w:sz w:val="22"/>
              </w:rPr>
              <w:t>afb_positive, 76.9% confidence</w:t>
            </w:r>
          </w:p>
        </w:tc>
      </w:tr>
    </w:tbl>
    <w:p/>
    <w:p>
      <w:r>
        <w:rPr>
          <w:rFonts w:ascii="Times New Roman" w:hAnsi="Times New Roman"/>
          <w:sz w:val="24"/>
        </w:rPr>
        <w:t>Table 6.9.2 and Table 6.9.3 show that cough quality gating correctly rejected noise, silence, and replay-like inputs while returning TB probabilities for valid cough bursts. Sputum inference returned AFB-positive and AFB-negative classifications with confidence scores consistent with the binary production model. These results support the practical applicability of the deployed ML API within the TBhon screening workflow.</w:t>
      </w:r>
    </w:p>
    <w:p>
      <w:pPr>
        <w:pStyle w:val="Heading2"/>
      </w:pPr>
      <w:r>
        <w:t>6.10 Summary of Findings</w:t>
      </w:r>
    </w:p>
    <w:p>
      <w:r>
        <w:rPr>
          <w:rFonts w:ascii="Times New Roman" w:hAnsi="Times New Roman"/>
          <w:sz w:val="24"/>
        </w:rPr>
        <w:t>Based on testing, validation, and evaluation, TBhon demonstrated multimodal TB pre-screening capability with cloud-assisted session management. The hybrid cough classifier achieved 75.75% test accuracy and 69.08% macro F1. The binary sputum classifier achieved 94.91% test accuracy and 96.19% AFB-positive sensitivity. Weighted multimodal fusion, DigitalOcean deployment with Cloudflare tunnels, and cross-platform mobile deployment strengthened practical applicability. User acceptance testing with 6 professional evaluators yielded an ISO/IEC 25010 grand mean of 4.53 (SA) with overall ratings of Excellent (33.3%), Good (50.0%), and Fair (16.7%). Performance efficiency and network reliability were the lowest-rated dimensions, informing future connectivity and onboarding improvements. TBhon operated as pre-screening and triage support only—not medical diagnosis.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