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VII</w:t>
      </w:r>
    </w:p>
    <w:p>
      <w:pPr>
        <w:pStyle w:val="Heading1"/>
      </w:pPr>
      <w:r>
        <w:t>CONCLUSIONS AND RECOMMENDATIONS</w:t>
      </w:r>
    </w:p>
    <w:p>
      <w:r>
        <w:rPr>
          <w:rFonts w:ascii="Times New Roman" w:hAnsi="Times New Roman"/>
          <w:sz w:val="24"/>
        </w:rPr>
        <w:t>This chapter presents the conclusions drawn from the development, testing, evaluation, and user acceptance procedures conducted on TBhon version 1.2 (Prototype / Field Evaluation Build), together with recommendations for future research, deployment refinement, and clinical integration. The conclusions are based on the achievement of the eight specific objectives outlined in Section 1.3, the machine learning performance results in Chapter VI, functional and inference test cases, and ISO/IEC 25010–aligned user acceptance testing with six purposively selected professional evaluators.</w:t>
      </w:r>
    </w:p>
    <w:p>
      <w:pPr>
        <w:pStyle w:val="Heading2"/>
      </w:pPr>
      <w:r>
        <w:t>7.1 Conclusions</w:t>
      </w:r>
    </w:p>
    <w:p>
      <w:r>
        <w:rPr>
          <w:rFonts w:ascii="Times New Roman" w:hAnsi="Times New Roman"/>
          <w:sz w:val="24"/>
        </w:rPr>
        <w:t>The study successfully developed TBhon, an IoT-enabled mobile-based multimodal tuberculosis pre-screening and triage support system integrating an Expo/React Native mobile application, a Node.js/Express backend with Prisma ORM and DigitalOcean Managed MySQL, a Python/FastAPI machine learning inference service with PyTorch models, optional ESP32-S3 IoT acquisition hardware, and weighted multimodal risk fusion for Low, Moderate, and High triage stratification. The integration of artificial intelligence, mobile computing, cloud deployment, and IoT-assisted data capture enabled the proposed system to support staff-guided screening workflows involving client intake, an eleven-item symptom checklist, cough audio capture, sputum smear imaging, cloud ML inference, staff review, fused risk disclosure, screening history, and patient QR result claim within community and booth-oriented TB pre-screening environments.</w:t>
      </w:r>
    </w:p>
    <w:p>
      <w:r>
        <w:rPr>
          <w:rFonts w:ascii="Times New Roman" w:hAnsi="Times New Roman"/>
          <w:sz w:val="24"/>
        </w:rPr>
        <w:t>The first specific objective—development of IoT acquisition hardware for respiratory audio and microscopic sputum imaging—was substantially achieved. The researchers designed and implemented an ESP32-S3 module with INMP441 cough audio capture and OV5640 sputum imaging, authenticated REST upload to backend /iot endpoints, and mobile-side IoT health verification. Bench testing confirmed device-triggered media upload and session linkage. Full in-application BLE Wi-Fi provisioning requires a native deployment build and remains a refinement item rather than a blocker to the core screening workflow.</w:t>
      </w:r>
    </w:p>
    <w:p>
      <w:r>
        <w:rPr>
          <w:rFonts w:ascii="Times New Roman" w:hAnsi="Times New Roman"/>
          <w:sz w:val="24"/>
        </w:rPr>
        <w:t>The second specific objective—data curation and preprocessing—was achieved. Publicly available cough audio and YOLO-annotated sputum microscopy datasets were partitioned into training, validation, and test subsets. Cough samples were resampled to 16 kHz, converted to log-Mel spectrograms, and supplemented with hand-crafted acoustic features for the gradient boosting branch. Sputum images were annotated, converted to binary acid-fast bacilli labels, resized to 224×224 pixels, and augmented to improve model robustness.</w:t>
      </w:r>
    </w:p>
    <w:p>
      <w:r>
        <w:rPr>
          <w:rFonts w:ascii="Times New Roman" w:hAnsi="Times New Roman"/>
          <w:sz w:val="24"/>
        </w:rPr>
        <w:t>The third specific objective—machine learning model development—was achieved. The hybrid Mel-spectrogram CNN + Gradient Boosting Machine cough classifier (production run 20260531_014419) attained 75.75% test accuracy and 69.08% macro F1 on a held-out test fold (n = 2,606), with strong non-TB recall (88.25%) suitable for ruling out lower-risk cases during triage. The ResNet18 binary sputum AFB classifier (production run phlegm_afb_binary_20260531_133949) attained 94.91% test accuracy and 96.19% AFB-positive sensitivity on a held-out test partition (n = 216), reflecting a screening-oriented threshold policy that prioritizes sensitivity over specificity. Both models were deployed through FastAPI endpoints with quality gating for invalid cough audio and unusable smear images.</w:t>
      </w:r>
    </w:p>
    <w:p>
      <w:r>
        <w:rPr>
          <w:rFonts w:ascii="Times New Roman" w:hAnsi="Times New Roman"/>
          <w:sz w:val="24"/>
        </w:rPr>
        <w:t>The fourth specific objective—multimodal risk scoring—was achieved. The system combined checklist probability, mean cough ML probability across quality-validated clips, and sputum ML probability through weighted log-odds fusion (weights 0.85, 1.00, and 0.70) with clinical safety floors for high-concern symptoms and confident AFB-positive findings. The fused output produced interpretable Low, Moderate, and High triage bands with disclaimers and referral-oriented guidance, extending practical utility beyond isolated modality scores.</w:t>
      </w:r>
    </w:p>
    <w:p>
      <w:r>
        <w:rPr>
          <w:rFonts w:ascii="Times New Roman" w:hAnsi="Times New Roman"/>
          <w:sz w:val="24"/>
        </w:rPr>
        <w:t>The fifth specific objective—communication architecture—was achieved. Two DigitalOcean cloud droplets hosted the backend (PM2, port 4000) and ML API (systemd, port 8000), both exposed through Cloudflare HTTPS tunnels to support reliable mobile uploads over cellular networks. The mobile application communicated with the backend for authentication, sessions, and media persistence and with the ML API for inference, while IoT devices uploaded directly to authenticated backend endpoints. This architecture separated application logic, persistence, and inference responsibilities while maintaining HTTPS accessibility for field deployment.</w:t>
      </w:r>
    </w:p>
    <w:p>
      <w:r>
        <w:rPr>
          <w:rFonts w:ascii="Times New Roman" w:hAnsi="Times New Roman"/>
          <w:sz w:val="24"/>
        </w:rPr>
        <w:t>The sixth specific objective—machine learning model evaluation—was achieved. Standard classification metrics including accuracy, precision, recall, F1-score, confusion matrices, and training-curve compilations demonstrated acceptable offline performance for a pre-screening prototype. Cough TB recall (47.63%) and sputum specificity (50.00% on only six AFB-negative test samples) indicate that the models support triage prioritization rather than standalone clinical diagnosis. Classification response time was largely within the five-second UAT target under stable connectivity, with occasional delays reported on unstable networks.</w:t>
      </w:r>
    </w:p>
    <w:p>
      <w:r>
        <w:rPr>
          <w:rFonts w:ascii="Times New Roman" w:hAnsi="Times New Roman"/>
          <w:sz w:val="24"/>
        </w:rPr>
        <w:t>The seventh and eighth specific objectives—ISO/IEC 25010 software quality assessment and professional user acceptance testing—were achieved. Six evaluators representing IT, nursing, medical laboratory science, and clinical instruction roles completed six predefined screening tasks and a twenty-four-item questionnaire mapped to Functional Suitability, Performance Efficiency, Usability, Reliability, Security, and Overall Satisfaction. The ISO/IEC 25010 grand mean was 4.53 (SA), with Functional Suitability (4.60), Usability (4.57), Security (4.94), and Overall Satisfaction (4.67) rated Strongly Agree. Performance Efficiency (4.21) and Reliability (4.38) were rated Agree, reflecting connectivity and rural-deployment concerns raised during evaluation. Overall UAT performance ratings were Excellent (33.3%), Good (50.0%), and Fair (16.7%).</w:t>
      </w:r>
    </w:p>
    <w:p>
      <w:r>
        <w:rPr>
          <w:rFonts w:ascii="Times New Roman" w:hAnsi="Times New Roman"/>
          <w:sz w:val="24"/>
        </w:rPr>
        <w:t>Functional and inference test cases executed on iPhone 15 and Redmi Note 12 Pro 5G devices confirmed that end-to-end screening workflow cases (TC-01 through TC-06) passed on both platforms and that cough quality gating correctly rejected noise, silence, and replay-like inputs while returning consistent API outputs for valid cough bursts and held-out sputum smear images. These results support the practical deployability of the integrated prototype within booth-operated TB pre-screening workflows.</w:t>
      </w:r>
    </w:p>
    <w:p>
      <w:r>
        <w:rPr>
          <w:rFonts w:ascii="Times New Roman" w:hAnsi="Times New Roman"/>
          <w:sz w:val="24"/>
        </w:rPr>
        <w:t>The utilization of CRISP-DM methodology, agile sprint development, multimodal machine learning, cloud infrastructure, and IoT-assisted capture demonstrated the applicability of engineering-oriented health informatics systems within resource-limited Philippine screening contexts. TBhon was consistently positioned and evaluated as pre-screening and triage support only—not a substitute for GeneXpert, smear microscopy, chest radiography, or clinician-confirmed TB diagnosis. Evaluation was conducted on publicly available datasets and prototype booth conditions; therefore, results represent technical feasibility and user acceptability rather than formal clinical validation.</w:t>
      </w:r>
    </w:p>
    <w:p>
      <w:r>
        <w:rPr>
          <w:rFonts w:ascii="Times New Roman" w:hAnsi="Times New Roman"/>
          <w:sz w:val="24"/>
        </w:rPr>
        <w:t>Overall, the proposed TBhon system successfully achieved the research objectives by providing a practical, accessible, and emerging-technology-driven multimodal TB pre-screening platform that combines symptom checklist assessment, cough and sputum machine learning signals, IoT-assisted capture, cloud-backed session management, and staff-reviewed triage outputs suitable for community health worker and booth deployment contexts in support of earlier referral and organized TB screening activities.</w:t>
      </w:r>
    </w:p>
    <w:p>
      <w:pPr>
        <w:pStyle w:val="Heading2"/>
      </w:pPr>
      <w:r>
        <w:t>7.2 Recommendations</w:t>
      </w:r>
    </w:p>
    <w:p>
      <w:r>
        <w:rPr>
          <w:rFonts w:ascii="Times New Roman" w:hAnsi="Times New Roman"/>
          <w:sz w:val="24"/>
        </w:rPr>
        <w:t>Based on the findings, limitations, and user acceptance feedback documented in Chapter VI, the researchers recommend the following improvements for future development, field pilot deployment, and research extension.</w:t>
      </w:r>
    </w:p>
    <w:p>
      <w:r>
        <w:rPr>
          <w:rFonts w:ascii="Times New Roman" w:hAnsi="Times New Roman"/>
          <w:b/>
          <w:sz w:val="24"/>
        </w:rPr>
        <w:t xml:space="preserve">First, </w:t>
      </w:r>
      <w:r>
        <w:rPr>
          <w:rFonts w:ascii="Times New Roman" w:hAnsi="Times New Roman"/>
          <w:sz w:val="24"/>
        </w:rPr>
        <w:t>future developers should implement offline or low-bandwidth operation with local request queuing and synchronization when connectivity is restored. UAT evaluators consistently identified unstable Wi-Fi and rural network conditions as the primary limitation (Item 20, weighted mean 3.83), and this enhancement would improve reliability for barangay health stations and remote screening booths.</w:t>
      </w:r>
    </w:p>
    <w:p>
      <w:r>
        <w:rPr>
          <w:rFonts w:ascii="Times New Roman" w:hAnsi="Times New Roman"/>
          <w:b/>
          <w:sz w:val="24"/>
        </w:rPr>
        <w:t xml:space="preserve">Second, </w:t>
      </w:r>
      <w:r>
        <w:rPr>
          <w:rFonts w:ascii="Times New Roman" w:hAnsi="Times New Roman"/>
          <w:sz w:val="24"/>
        </w:rPr>
        <w:t>the mobile application should include a structured onboarding tutorial, illustrated capture guidance, and clearer ML processing status indicators for first-time booth staff. Evaluators from clinical and medical laboratory science backgrounds noted that non-technical users require additional instructional support before independent operation.</w:t>
      </w:r>
    </w:p>
    <w:p>
      <w:r>
        <w:rPr>
          <w:rFonts w:ascii="Times New Roman" w:hAnsi="Times New Roman"/>
          <w:b/>
          <w:sz w:val="24"/>
        </w:rPr>
        <w:t xml:space="preserve">Third, </w:t>
      </w:r>
      <w:r>
        <w:rPr>
          <w:rFonts w:ascii="Times New Roman" w:hAnsi="Times New Roman"/>
          <w:sz w:val="24"/>
        </w:rPr>
        <w:t>referral outputs should integrate location-based mapping to the nearest accredited TB DOTS clinic, RHU, or GeneXpert-capable facility. Clinical evaluators recommended that triage results explicitly link patients to geographically relevant follow-up pathways rather than generic referral text alone.</w:t>
      </w:r>
    </w:p>
    <w:p>
      <w:r>
        <w:rPr>
          <w:rFonts w:ascii="Times New Roman" w:hAnsi="Times New Roman"/>
          <w:b/>
          <w:sz w:val="24"/>
        </w:rPr>
        <w:t xml:space="preserve">Fourth, </w:t>
      </w:r>
      <w:r>
        <w:rPr>
          <w:rFonts w:ascii="Times New Roman" w:hAnsi="Times New Roman"/>
          <w:sz w:val="24"/>
        </w:rPr>
        <w:t>the cough ML pipeline should be expanded with additional training data—including female cough recordings, diverse acoustic environments, and improved quality-gate feedback that highlights rejected segments rather than full replay loops—to improve TB-class recall and user trust in audio-based triage signals.</w:t>
      </w:r>
    </w:p>
    <w:p>
      <w:r>
        <w:rPr>
          <w:rFonts w:ascii="Times New Roman" w:hAnsi="Times New Roman"/>
          <w:b/>
          <w:sz w:val="24"/>
        </w:rPr>
        <w:t xml:space="preserve">Fifth, </w:t>
      </w:r>
      <w:r>
        <w:rPr>
          <w:rFonts w:ascii="Times New Roman" w:hAnsi="Times New Roman"/>
          <w:sz w:val="24"/>
        </w:rPr>
        <w:t>the sputum analysis module should be enhanced with on-screen AFB bounding-box visualization, expanded AFB-negative training samples, and prospective field validation using institution-approved clinical smear images to strengthen specificity estimates beyond the limited six-sample negative test partition.</w:t>
      </w:r>
    </w:p>
    <w:p>
      <w:r>
        <w:rPr>
          <w:rFonts w:ascii="Times New Roman" w:hAnsi="Times New Roman"/>
          <w:b/>
          <w:sz w:val="24"/>
        </w:rPr>
        <w:t xml:space="preserve">Sixth, </w:t>
      </w:r>
      <w:r>
        <w:rPr>
          <w:rFonts w:ascii="Times New Roman" w:hAnsi="Times New Roman"/>
          <w:sz w:val="24"/>
        </w:rPr>
        <w:t>the symptom checklist may be extended with additional clinical risk factors suggested during UAT—such as comorbid conditions, smoking exposure, and allergy-related cough differentiators—while preserving a concise staff-operated workflow suitable for booth throughput.</w:t>
      </w:r>
    </w:p>
    <w:p>
      <w:r>
        <w:rPr>
          <w:rFonts w:ascii="Times New Roman" w:hAnsi="Times New Roman"/>
          <w:b/>
          <w:sz w:val="24"/>
        </w:rPr>
        <w:t xml:space="preserve">Seventh, </w:t>
      </w:r>
      <w:r>
        <w:rPr>
          <w:rFonts w:ascii="Times New Roman" w:hAnsi="Times New Roman"/>
          <w:sz w:val="24"/>
        </w:rPr>
        <w:t>IoT deployment should be completed through native or EAS builds enabling full BLE Wi-Fi provisioning, on-device status LEDs or display feedback, and field troubleshooting guides to reduce setup friction for ESP32-S3 cough and sputum capture modules.</w:t>
      </w:r>
    </w:p>
    <w:p>
      <w:r>
        <w:rPr>
          <w:rFonts w:ascii="Times New Roman" w:hAnsi="Times New Roman"/>
          <w:b/>
          <w:sz w:val="24"/>
        </w:rPr>
        <w:t xml:space="preserve">Eighth, </w:t>
      </w:r>
      <w:r>
        <w:rPr>
          <w:rFonts w:ascii="Times New Roman" w:hAnsi="Times New Roman"/>
          <w:sz w:val="24"/>
        </w:rPr>
        <w:t>a multi-site field pilot with LGU, RHU, or NGO partners should be conducted to measure real screening volume, referral follow-through, cloud inference latency under production load, and long-term model drift using logged prediction data from the deployed FastAPI service.</w:t>
      </w:r>
    </w:p>
    <w:p>
      <w:r>
        <w:rPr>
          <w:rFonts w:ascii="Times New Roman" w:hAnsi="Times New Roman"/>
          <w:b/>
          <w:sz w:val="24"/>
        </w:rPr>
        <w:t xml:space="preserve">Ninth, </w:t>
      </w:r>
      <w:r>
        <w:rPr>
          <w:rFonts w:ascii="Times New Roman" w:hAnsi="Times New Roman"/>
          <w:sz w:val="24"/>
        </w:rPr>
        <w:t>future researchers may integrate supplementary modalities—such as chest X-ray CAD interfaces or GeneXpert result logging—as optional triage inputs only, maintaining honest pre-screening scope and avoiding presentation of the fused risk score as a standalone diagnostic conclusion.</w:t>
      </w:r>
    </w:p>
    <w:p>
      <w:r>
        <w:rPr>
          <w:rFonts w:ascii="Times New Roman" w:hAnsi="Times New Roman"/>
          <w:b/>
          <w:sz w:val="24"/>
        </w:rPr>
        <w:t xml:space="preserve">Finally, </w:t>
      </w:r>
      <w:r>
        <w:rPr>
          <w:rFonts w:ascii="Times New Roman" w:hAnsi="Times New Roman"/>
          <w:sz w:val="24"/>
        </w:rPr>
        <w:t>multilingual support (e.g., Filipino and Cebuano/Bisaya) for checklist items, Learn content, result counseling, and disclaimers is recommended to improve accessibility for diverse clients in Mindanao screening environments and to align with community-oriented tuberculosis elimination initiatives.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