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spacing w:after="280"/>
        <w:jc w:val="center"/>
      </w:pPr>
      <w:r>
        <w:rPr>
          <w:rFonts w:ascii="Calibri" w:hAnsi="Calibri" w:eastAsia="Microsoft YaHei"/>
          <w:b/>
          <w:color w:val="6D5DFB"/>
          <w:sz w:val="22"/>
        </w:rPr>
        <w:t>研究生创新创业大赛项目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16213E"/>
          <w:sz w:val="60"/>
        </w:rPr>
        <w:t>EduMind 团队共享版</w:t>
      </w:r>
    </w:p>
    <w:p>
      <w:pPr>
        <w:spacing w:after="160"/>
        <w:jc w:val="center"/>
      </w:pPr>
      <w:r>
        <w:rPr>
          <w:rFonts w:ascii="Calibri" w:hAnsi="Calibri" w:eastAsia="Microsoft YaHei"/>
          <w:color w:val="0E7490"/>
          <w:sz w:val="32"/>
        </w:rPr>
        <w:t>修改说明 · 使用指南 · 后续开发方向</w:t>
      </w:r>
    </w:p>
    <w:p>
      <w:pPr>
        <w:spacing w:after="1040"/>
        <w:jc w:val="center"/>
      </w:pPr>
      <w:r>
        <w:rPr>
          <w:rFonts w:ascii="Calibri" w:hAnsi="Calibri" w:eastAsia="Microsoft YaHei"/>
          <w:i/>
          <w:color w:val="667085"/>
          <w:sz w:val="22"/>
        </w:rPr>
        <w:t>从“功能集合”走向“可解释的学习诊断与干预闭环”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9DEEA"/>
          <w:left w:val="single" w:sz="5" w:color="D9DEEA"/>
          <w:bottom w:val="single" w:sz="5" w:color="D9DEEA"/>
          <w:right w:val="single" w:sz="5" w:color="D9DEEA"/>
          <w:insideH w:val="single" w:sz="5" w:color="D9DEEA"/>
          <w:insideV w:val="single" w:sz="5" w:color="D9DEEA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8F2"/>
          </w:tcPr>
          <w:p>
            <w:pPr>
              <w:spacing w:after="40" w:line="288" w:lineRule="auto"/>
            </w:pPr>
            <w:r>
              <w:rPr>
                <w:rFonts w:ascii="Calibri" w:hAnsi="Calibri" w:eastAsia="Microsoft YaHei"/>
                <w:b/>
                <w:color w:val="0E7490"/>
                <w:sz w:val="22"/>
              </w:rPr>
              <w:t xml:space="preserve">共享版安全状态  </w:t>
            </w:r>
            <w:r>
              <w:rPr>
                <w:rFonts w:ascii="Calibri" w:hAnsi="Calibri" w:eastAsia="Microsoft YaHei"/>
                <w:color w:val="1F2937"/>
                <w:sz w:val="22"/>
              </w:rPr>
              <w:t>个人对话模型 Key、向量模型 Key及数据库中的加密 Key均已清除。本版本适合发送给团队成员，但禁止把组员后续填写的 .env 或 Key 提交到代码仓库。</w:t>
            </w:r>
          </w:p>
        </w:tc>
      </w:tr>
    </w:tbl>
    <w:p>
      <w:pPr>
        <w:spacing w:after="40"/>
      </w:pPr>
    </w:p>
    <w:p>
      <w:pPr>
        <w:spacing w:before="720"/>
        <w:jc w:val="center"/>
      </w:pPr>
      <w:r>
        <w:rPr>
          <w:rFonts w:ascii="Calibri" w:hAnsi="Calibri" w:eastAsia="Microsoft YaHei"/>
          <w:b/>
          <w:color w:val="16213E"/>
          <w:sz w:val="21"/>
        </w:rPr>
        <w:t>版本日期：2026年8月5日</w:t>
      </w:r>
    </w:p>
    <w:p>
      <w:pPr>
        <w:jc w:val="center"/>
      </w:pPr>
      <w:r>
        <w:rPr>
          <w:rFonts w:ascii="Calibri" w:hAnsi="Calibri" w:eastAsia="Microsoft YaHei"/>
          <w:color w:val="667085"/>
          <w:sz w:val="19"/>
        </w:rPr>
        <w:t>适用对象：产品、算法、前后端、测试、文案与答辩成员</w:t>
      </w:r>
    </w:p>
    <w:p>
      <w:r>
        <w:br w:type="page"/>
      </w:r>
    </w:p>
    <w:p>
      <w:pPr>
        <w:pStyle w:val="Heading1"/>
      </w:pPr>
      <w:r>
        <w:t>阅读导航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这份文档既是本次版本交接说明，也是团队后续开发的共同基线。建议新成员依次阅读：项目定位 → 修改内容 → 启动与配置 → 协作规范 → 未来路线。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F2937"/>
          <w:sz w:val="22"/>
        </w:rPr>
        <w:t>第1部分：项目定位与当前闭环——先理解我们在解决什么问题。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F2937"/>
          <w:sz w:val="22"/>
        </w:rPr>
        <w:t>第2部分：本版本修改说明——明确修改前、修改后及原因。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F2937"/>
          <w:sz w:val="22"/>
        </w:rPr>
        <w:t>第3部分：安装与使用说明——按照步骤即可启动和配置。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F2937"/>
          <w:sz w:val="22"/>
        </w:rPr>
        <w:t>第4部分：团队协作与安全规则——避免密钥泄露和代码互相覆盖。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F2937"/>
          <w:sz w:val="22"/>
        </w:rPr>
        <w:t>第5部分：当前不足与未来方向——供团队共同决策和分工。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F2937"/>
          <w:sz w:val="22"/>
        </w:rPr>
        <w:t>第6部分：共享版验收清单——发版前逐项确认。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9DEEA"/>
          <w:left w:val="single" w:sz="5" w:color="D9DEEA"/>
          <w:bottom w:val="single" w:sz="5" w:color="D9DEEA"/>
          <w:right w:val="single" w:sz="5" w:color="D9DEEA"/>
          <w:insideH w:val="single" w:sz="5" w:color="D9DEEA"/>
          <w:insideV w:val="single" w:sz="5" w:color="D9DEEA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EEFF"/>
          </w:tcPr>
          <w:p>
            <w:pPr>
              <w:spacing w:after="40" w:line="288" w:lineRule="auto"/>
            </w:pPr>
            <w:r>
              <w:rPr>
                <w:rFonts w:ascii="Calibri" w:hAnsi="Calibri" w:eastAsia="Microsoft YaHei"/>
                <w:b/>
                <w:color w:val="3F51B5"/>
                <w:sz w:val="22"/>
              </w:rPr>
              <w:t xml:space="preserve">一句话定位  </w:t>
            </w:r>
            <w:r>
              <w:rPr>
                <w:rFonts w:ascii="Calibri" w:hAnsi="Calibri" w:eastAsia="Microsoft YaHei"/>
                <w:color w:val="1F2937"/>
                <w:sz w:val="22"/>
              </w:rPr>
              <w:t>EduMind不是普通AI聊天学习工具，而是把学习画像、知识诊断、个性化计划、AI辅导、测评、错题追踪和再次调整连接起来的学习诊断与干预系统。</w:t>
            </w:r>
          </w:p>
        </w:tc>
      </w:tr>
    </w:tbl>
    <w:p>
      <w:pPr>
        <w:spacing w:after="40"/>
      </w:pPr>
    </w:p>
    <w:p>
      <w:pPr>
        <w:pStyle w:val="Heading1"/>
      </w:pPr>
      <w:r>
        <w:t>1. 项目定位与当前能力</w:t>
      </w:r>
    </w:p>
    <w:p>
      <w:pPr>
        <w:pStyle w:val="Heading2"/>
      </w:pPr>
      <w:r>
        <w:t>1.1 项目要解决的问题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传统学习平台往往只提供课程、题库或问答，但难以回答三个关键问题：学生到底哪里不会、下一步最该学什么、学习后是否真正改善。EduMind的价值在于把这些环节连接起来，让每一次测评和学习行为都能影响后续计划。</w:t>
      </w:r>
    </w:p>
    <w:p>
      <w:pPr>
        <w:pStyle w:val="Heading2"/>
      </w:pPr>
      <w:r>
        <w:t>1.2 已形成的核心闭环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9DEEA"/>
          <w:left w:val="single" w:sz="5" w:color="D9DEEA"/>
          <w:bottom w:val="single" w:sz="5" w:color="D9DEEA"/>
          <w:right w:val="single" w:sz="5" w:color="D9DEEA"/>
          <w:insideH w:val="single" w:sz="5" w:color="D9DEEA"/>
          <w:insideV w:val="single" w:sz="5" w:color="D9DEEA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EEFF"/>
          </w:tcPr>
          <w:p>
            <w:pPr>
              <w:spacing w:after="40" w:line="288" w:lineRule="auto"/>
            </w:pPr>
            <w:r>
              <w:rPr>
                <w:rFonts w:ascii="Calibri" w:hAnsi="Calibri" w:eastAsia="Microsoft YaHei"/>
                <w:b/>
                <w:color w:val="6D5DFB"/>
                <w:sz w:val="22"/>
              </w:rPr>
              <w:t xml:space="preserve">核心流程  </w:t>
            </w:r>
            <w:r>
              <w:rPr>
                <w:rFonts w:ascii="Calibri" w:hAnsi="Calibri" w:eastAsia="Microsoft YaHei"/>
                <w:color w:val="1F2937"/>
                <w:sz w:val="22"/>
              </w:rPr>
              <w:t>学习画像 → 知识诊断 → 个性化学习计划 → AI教练辅导 → 阶段测评 → 错题与掌握度更新 → 自动调整下一轮计划</w:t>
            </w:r>
          </w:p>
        </w:tc>
      </w:tr>
    </w:tbl>
    <w:p>
      <w:pPr>
        <w:spacing w:after="40"/>
      </w:pP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F2937"/>
          <w:sz w:val="22"/>
        </w:rPr>
        <w:t>学习画像：记录年级、学科、目标、偏好和知识点掌握度。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F2937"/>
          <w:sz w:val="22"/>
        </w:rPr>
        <w:t>知识诊断：根据测评、错题和学习记录识别薄弱知识点。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F2937"/>
          <w:sz w:val="22"/>
        </w:rPr>
        <w:t>个性化计划：围绕当前目标生成分步骤的学习任务。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F2937"/>
          <w:sz w:val="22"/>
        </w:rPr>
        <w:t>AI辅导：结合学生画像与知识库回答问题、解释概念。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F2937"/>
          <w:sz w:val="22"/>
        </w:rPr>
        <w:t>测评与错题：把结果写回掌握度与错题记录。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F2937"/>
          <w:sz w:val="22"/>
        </w:rPr>
        <w:t>动态调整：根据新结果更新推荐主题和学习路径。</w:t>
      </w:r>
    </w:p>
    <w:p>
      <w:pPr>
        <w:pStyle w:val="Heading2"/>
      </w:pPr>
      <w:r>
        <w:t>1.3 当前完成度判断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从演示产品角度，核心功能链、登录权限、模型配置、账户管理、数学公式显示和基本数据记录已经可用；从高水平竞赛作品角度，仍需重点补齐算法深度、实验数据、可解释证据和真实场景验证。换句话说，当前已具备“完整原型”，但还需要把技术创新和效果证明做实。</w:t>
      </w:r>
    </w:p>
    <w:p>
      <w:r>
        <w:br w:type="page"/>
      </w:r>
    </w:p>
    <w:p>
      <w:pPr>
        <w:pStyle w:val="Heading1"/>
      </w:pPr>
      <w:r>
        <w:t>2. 本版本修改说明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本次修改的原则是：先解决影响演示和协作的稳定性与安全性问题，再把项目结构调整为适合继续研发和参赛展示的基础版本。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9DEEA"/>
          <w:left w:val="single" w:sz="5" w:color="D9DEEA"/>
          <w:bottom w:val="single" w:sz="5" w:color="D9DEEA"/>
          <w:right w:val="single" w:sz="5" w:color="D9DEEA"/>
          <w:insideH w:val="single" w:sz="5" w:color="D9DEEA"/>
          <w:insideV w:val="single" w:sz="5" w:color="D9DEEA"/>
        </w:tblBorders>
      </w:tblPr>
      <w:tblGrid>
        <w:gridCol w:w="1500"/>
        <w:gridCol w:w="2500"/>
        <w:gridCol w:w="2800"/>
        <w:gridCol w:w="2560"/>
      </w:tblGrid>
      <w:tr>
        <w:trPr>
          <w:tblHeader w:val="true"/>
        </w:trPr>
        <w:tc>
          <w:tcPr>
            <w:tcW w:type="dxa" w:w="1500"/>
            <w:shd w:fill="16213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2500"/>
            <w:shd w:fill="16213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修改前</w:t>
            </w:r>
          </w:p>
        </w:tc>
        <w:tc>
          <w:tcPr>
            <w:tcW w:type="dxa" w:w="2800"/>
            <w:shd w:fill="16213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修改后</w:t>
            </w:r>
          </w:p>
        </w:tc>
        <w:tc>
          <w:tcPr>
            <w:tcW w:type="dxa" w:w="2560"/>
            <w:shd w:fill="16213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为什么修改</w:t>
            </w:r>
          </w:p>
        </w:tc>
      </w:tr>
      <w:tr>
        <w:tc>
          <w:tcPr>
            <w:tcW w:type="dxa" w:w="1500"/>
            <w:shd w:fill="F3F5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登录与配置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缺少或不一致的环境配置会导致登录后返回登录页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统一 .env、JWT 和本地数据库配置</w:t>
            </w:r>
          </w:p>
        </w:tc>
        <w:tc>
          <w:tcPr>
            <w:tcW w:type="dxa" w:w="2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保证登录状态稳定，降低换机和部署故障</w:t>
            </w:r>
          </w:p>
        </w:tc>
      </w:tr>
      <w:tr>
        <w:tc>
          <w:tcPr>
            <w:tcW w:type="dxa" w:w="1500"/>
            <w:shd w:fill="F3F5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模型密钥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学生端/浏览器端存在配置入口，密钥暴露风险较高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管理员统一配置，后端加密保存，页面只显示脱敏值</w:t>
            </w:r>
          </w:p>
        </w:tc>
        <w:tc>
          <w:tcPr>
            <w:tcW w:type="dxa" w:w="2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把系统密钥与学生使用权限分离</w:t>
            </w:r>
          </w:p>
        </w:tc>
      </w:tr>
      <w:tr>
        <w:tc>
          <w:tcPr>
            <w:tcW w:type="dxa" w:w="1500"/>
            <w:shd w:fill="F3F5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模型能力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对话模型与向量模型配置边界不清晰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分别管理 LLM 与 Embedding，可独立测试连接和维度</w:t>
            </w:r>
          </w:p>
        </w:tc>
        <w:tc>
          <w:tcPr>
            <w:tcW w:type="dxa" w:w="2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避免知识库检索因模型或维度不匹配而失败</w:t>
            </w:r>
          </w:p>
        </w:tc>
      </w:tr>
      <w:tr>
        <w:tc>
          <w:tcPr>
            <w:tcW w:type="dxa" w:w="1500"/>
            <w:shd w:fill="F3F5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账户角色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只有学生登录逻辑，缺少管理角色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增加独立管理员账户、登录页和权限校验</w:t>
            </w:r>
          </w:p>
        </w:tc>
        <w:tc>
          <w:tcPr>
            <w:tcW w:type="dxa" w:w="2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满足系统运维和比赛演示的管理需求</w:t>
            </w:r>
          </w:p>
        </w:tc>
      </w:tr>
      <w:tr>
        <w:tc>
          <w:tcPr>
            <w:tcW w:type="dxa" w:w="1500"/>
            <w:shd w:fill="F3F5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学生账户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只能注册登录，不能修改密码或主要资料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增加学生资料和密码自助修改</w:t>
            </w:r>
          </w:p>
        </w:tc>
        <w:tc>
          <w:tcPr>
            <w:tcW w:type="dxa" w:w="2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减少演示和实际使用中的账户阻塞</w:t>
            </w:r>
          </w:p>
        </w:tc>
      </w:tr>
      <w:tr>
        <w:tc>
          <w:tcPr>
            <w:tcW w:type="dxa" w:w="1500"/>
            <w:shd w:fill="F3F5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用户管理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管理员无法处理忘记密码或异常账户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增加搜索、编辑、启停和临时密码重置</w:t>
            </w:r>
          </w:p>
        </w:tc>
        <w:tc>
          <w:tcPr>
            <w:tcW w:type="dxa" w:w="2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形成最小可用的用户管理闭环</w:t>
            </w:r>
          </w:p>
        </w:tc>
      </w:tr>
      <w:tr>
        <w:tc>
          <w:tcPr>
            <w:tcW w:type="dxa" w:w="1500"/>
            <w:shd w:fill="F3F5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公式与文本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AI 输出中的 Markdown/LaTeX 可能显示为原始符号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统一 Markdown、代码高亮和数学公式渲染</w:t>
            </w:r>
          </w:p>
        </w:tc>
        <w:tc>
          <w:tcPr>
            <w:tcW w:type="dxa" w:w="2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提升课程内容的专业性和可读性</w:t>
            </w:r>
          </w:p>
        </w:tc>
      </w:tr>
      <w:tr>
        <w:tc>
          <w:tcPr>
            <w:tcW w:type="dxa" w:w="1500"/>
            <w:shd w:fill="F3F5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质量保障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修改依赖人工点选，缺少回归验证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补充权限、账户和学习流程测试及数据库迁移</w:t>
            </w:r>
          </w:p>
        </w:tc>
        <w:tc>
          <w:tcPr>
            <w:tcW w:type="dxa" w:w="2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避免新功能破坏原有学习闭环</w:t>
            </w:r>
          </w:p>
        </w:tc>
      </w:tr>
    </w:tbl>
    <w:p>
      <w:pPr>
        <w:pStyle w:val="Heading2"/>
      </w:pPr>
      <w:r>
        <w:t>2.1 管理员与模型配置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F2937"/>
          <w:sz w:val="22"/>
        </w:rPr>
        <w:t>增加独立管理员登录入口，与学生登录完全分开。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F2937"/>
          <w:sz w:val="22"/>
        </w:rPr>
        <w:t>对话模型和向量模型分别配置，可使用同一平台Key，也可以使用不同服务。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F2937"/>
          <w:sz w:val="22"/>
        </w:rPr>
        <w:t>密钥只在后端保存，管理页面不返回完整值，只显示脱敏结果。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F2937"/>
          <w:sz w:val="22"/>
        </w:rPr>
        <w:t>增加连接测试、模型名称、接口地址、向量维度和参数设置。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F2937"/>
          <w:sz w:val="22"/>
        </w:rPr>
        <w:t>学生页面不再能够查看或覆盖系统密钥。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color w:val="1F2937"/>
          <w:sz w:val="22"/>
        </w:rPr>
        <w:t>修改原因：</w:t>
      </w:r>
      <w:r>
        <w:rPr>
          <w:rFonts w:ascii="Calibri" w:hAnsi="Calibri" w:eastAsia="Microsoft YaHei"/>
          <w:color w:val="1F2937"/>
          <w:sz w:val="22"/>
        </w:rPr>
        <w:t>模型密钥属于系统级配置，放在学生浏览器会造成泄露、配置冲突和难以维护。独立管理员配置也更符合完整产品的角色设计。</w:t>
      </w:r>
    </w:p>
    <w:p>
      <w:pPr>
        <w:pStyle w:val="Heading2"/>
      </w:pPr>
      <w:r>
        <w:t>2.2 学生账户与管理员用户管理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F2937"/>
          <w:sz w:val="22"/>
        </w:rPr>
        <w:t>学生可修改用户名、姓名、年级、学科、目标分数和登录密码。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F2937"/>
          <w:sz w:val="22"/>
        </w:rPr>
        <w:t>管理员可查看和搜索学生，修改资料，停用或启用账户。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F2937"/>
          <w:sz w:val="22"/>
        </w:rPr>
        <w:t>管理员可为忘记密码的学生设置临时密码。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F2937"/>
          <w:sz w:val="22"/>
        </w:rPr>
        <w:t>临时密码登录后会提示学生立即改成自己的密码。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F2937"/>
          <w:sz w:val="22"/>
        </w:rPr>
        <w:t>被停用的账户无法继续使用旧Token访问系统。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color w:val="1F2937"/>
          <w:sz w:val="22"/>
        </w:rPr>
        <w:t>修改原因：</w:t>
      </w:r>
      <w:r>
        <w:rPr>
          <w:rFonts w:ascii="Calibri" w:hAnsi="Calibri" w:eastAsia="Microsoft YaHei"/>
          <w:color w:val="1F2937"/>
          <w:sz w:val="22"/>
        </w:rPr>
        <w:t>原版本只有注册和登录，忘记密码或账户异常时只能改数据库，既不利于比赛演示，也不具备真实使用条件。</w:t>
      </w:r>
    </w:p>
    <w:p>
      <w:pPr>
        <w:pStyle w:val="Heading2"/>
      </w:pPr>
      <w:r>
        <w:t>2.3 内容显示与学习流程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F2937"/>
          <w:sz w:val="22"/>
        </w:rPr>
        <w:t>统一处理AI输出中的Markdown、代码块和LaTeX数学公式。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F2937"/>
          <w:sz w:val="22"/>
        </w:rPr>
        <w:t>计划、测评、错题、进度和知识图谱页面继续复用同一学习数据。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F2937"/>
          <w:sz w:val="22"/>
        </w:rPr>
        <w:t>模型与知识库配置由后端运行时读取，管理员保存后立即生效。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F2937"/>
          <w:sz w:val="22"/>
        </w:rPr>
        <w:t>向量维度变化会显示重建知识库提醒，防止静默检索失败。</w:t>
      </w:r>
    </w:p>
    <w:p>
      <w:r>
        <w:br w:type="page"/>
      </w:r>
    </w:p>
    <w:p>
      <w:pPr>
        <w:pStyle w:val="Heading1"/>
      </w:pPr>
      <w:r>
        <w:t>3. 安装与使用说明</w:t>
      </w:r>
    </w:p>
    <w:p>
      <w:pPr>
        <w:pStyle w:val="Heading2"/>
      </w:pPr>
      <w:r>
        <w:t>3.1 共享包包含什么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F2937"/>
          <w:sz w:val="22"/>
        </w:rPr>
        <w:t>完整前后端源代码、数据库升级文件、测试代码和项目文档。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F2937"/>
          <w:sz w:val="22"/>
        </w:rPr>
        <w:t>安全的 .env 本地配置模板，其中模型Key为空。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F2937"/>
          <w:sz w:val="22"/>
        </w:rPr>
        <w:t>一键启动脚本 start_edumind.bat。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F2937"/>
          <w:sz w:val="22"/>
        </w:rPr>
        <w:t>不包含个人模型Key、个人数据库、向量库数据、venv、node_modules和构建缓存。</w:t>
      </w:r>
    </w:p>
    <w:p>
      <w:pPr>
        <w:pStyle w:val="Heading2"/>
      </w:pPr>
      <w:r>
        <w:t>3.2 首次运行环境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推荐使用 Windows 10/11、Python 3.11 和 Node.js 20或更高版本。首次安装依赖需要联网，后续启动通常不需要重复安装。</w:t>
      </w:r>
    </w:p>
    <w:p>
      <w:pPr>
        <w:spacing w:after="80" w:line="300" w:lineRule="auto"/>
        <w:numPr>
          <w:ilvl w:val="0"/>
          <w:numId w:val="102"/>
        </w:numPr>
      </w:pPr>
      <w:r>
        <w:rPr>
          <w:rFonts w:ascii="Calibri" w:hAnsi="Calibri" w:eastAsia="Microsoft YaHei"/>
          <w:color w:val="1F2937"/>
          <w:sz w:val="22"/>
        </w:rPr>
        <w:t>安装 Python，并在安装界面勾选“Add Python to PATH”。</w:t>
      </w:r>
    </w:p>
    <w:p>
      <w:pPr>
        <w:spacing w:after="80" w:line="300" w:lineRule="auto"/>
        <w:numPr>
          <w:ilvl w:val="0"/>
          <w:numId w:val="102"/>
        </w:numPr>
      </w:pPr>
      <w:r>
        <w:rPr>
          <w:rFonts w:ascii="Calibri" w:hAnsi="Calibri" w:eastAsia="Microsoft YaHei"/>
          <w:color w:val="1F2937"/>
          <w:sz w:val="22"/>
        </w:rPr>
        <w:t>安装 Node.js，并确认命令行可以使用 node 和 npm。</w:t>
      </w:r>
    </w:p>
    <w:p>
      <w:pPr>
        <w:spacing w:after="80" w:line="300" w:lineRule="auto"/>
        <w:numPr>
          <w:ilvl w:val="0"/>
          <w:numId w:val="102"/>
        </w:numPr>
      </w:pPr>
      <w:r>
        <w:rPr>
          <w:rFonts w:ascii="Calibri" w:hAnsi="Calibri" w:eastAsia="Microsoft YaHei"/>
          <w:color w:val="1F2937"/>
          <w:sz w:val="22"/>
        </w:rPr>
        <w:t>解压团队ZIP到纯英文或常规中文路径，避免过深目录。</w:t>
      </w:r>
    </w:p>
    <w:p>
      <w:pPr>
        <w:spacing w:after="80" w:line="300" w:lineRule="auto"/>
        <w:numPr>
          <w:ilvl w:val="0"/>
          <w:numId w:val="102"/>
        </w:numPr>
      </w:pPr>
      <w:r>
        <w:rPr>
          <w:rFonts w:ascii="Calibri" w:hAnsi="Calibri" w:eastAsia="Microsoft YaHei"/>
          <w:color w:val="1F2937"/>
          <w:sz w:val="22"/>
        </w:rPr>
        <w:t>双击 start_edumind.bat。脚本会自动创建 venv 并安装Python与前端依赖。</w:t>
      </w:r>
    </w:p>
    <w:p>
      <w:pPr>
        <w:spacing w:after="80" w:line="300" w:lineRule="auto"/>
        <w:numPr>
          <w:ilvl w:val="0"/>
          <w:numId w:val="102"/>
        </w:numPr>
      </w:pPr>
      <w:r>
        <w:rPr>
          <w:rFonts w:ascii="Calibri" w:hAnsi="Calibri" w:eastAsia="Microsoft YaHei"/>
          <w:color w:val="1F2937"/>
          <w:sz w:val="22"/>
        </w:rPr>
        <w:t>等待两个服务窗口启动，浏览器会打开 http://localhost:5173。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9DEEA"/>
          <w:left w:val="single" w:sz="5" w:color="D9DEEA"/>
          <w:bottom w:val="single" w:sz="5" w:color="D9DEEA"/>
          <w:right w:val="single" w:sz="5" w:color="D9DEEA"/>
          <w:insideH w:val="single" w:sz="5" w:color="D9DEEA"/>
          <w:insideV w:val="single" w:sz="5" w:color="D9DEEA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7E6"/>
          </w:tcPr>
          <w:p>
            <w:pPr>
              <w:spacing w:after="40" w:line="288" w:lineRule="auto"/>
            </w:pPr>
            <w:r>
              <w:rPr>
                <w:rFonts w:ascii="Calibri" w:hAnsi="Calibri" w:eastAsia="Microsoft YaHei"/>
                <w:b/>
                <w:color w:val="9A6700"/>
                <w:sz w:val="22"/>
              </w:rPr>
              <w:t xml:space="preserve">首次启动时间  </w:t>
            </w:r>
            <w:r>
              <w:rPr>
                <w:rFonts w:ascii="Calibri" w:hAnsi="Calibri" w:eastAsia="Microsoft YaHei"/>
                <w:color w:val="1F2937"/>
                <w:sz w:val="22"/>
              </w:rPr>
              <w:t>依赖安装速度取决于网络。不要把别人电脑里的 venv 或 node_modules 直接复制过来，它们可能绑定原路径或系统版本。</w:t>
            </w:r>
          </w:p>
        </w:tc>
      </w:tr>
    </w:tbl>
    <w:p>
      <w:pPr>
        <w:spacing w:after="40"/>
      </w:pPr>
    </w:p>
    <w:p>
      <w:pPr>
        <w:pStyle w:val="Heading2"/>
      </w:pPr>
      <w:r>
        <w:t>3.3 管理员首次登录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9DEEA"/>
          <w:left w:val="single" w:sz="5" w:color="D9DEEA"/>
          <w:bottom w:val="single" w:sz="5" w:color="D9DEEA"/>
          <w:right w:val="single" w:sz="5" w:color="D9DEEA"/>
          <w:insideH w:val="single" w:sz="5" w:color="D9DEEA"/>
          <w:insideV w:val="single" w:sz="5" w:color="D9DEEA"/>
        </w:tblBorders>
      </w:tblPr>
      <w:tblGrid>
        <w:gridCol w:w="2200"/>
        <w:gridCol w:w="7160"/>
      </w:tblGrid>
      <w:tr>
        <w:tc>
          <w:tcPr>
            <w:tcW w:type="dxa" w:w="2200"/>
            <w:shd w:fill="F3F5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2937"/>
                <w:sz w:val="20"/>
              </w:rPr>
              <w:t>入口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6213E"/>
                <w:sz w:val="20"/>
              </w:rPr>
              <w:t>http://localhost:5173/admin-login</w:t>
            </w:r>
          </w:p>
        </w:tc>
      </w:tr>
      <w:tr>
        <w:tc>
          <w:tcPr>
            <w:tcW w:type="dxa" w:w="2200"/>
            <w:shd w:fill="F3F5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2937"/>
                <w:sz w:val="20"/>
              </w:rPr>
              <w:t>管理员账号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6213E"/>
                <w:sz w:val="20"/>
              </w:rPr>
              <w:t>edumind_admin</w:t>
            </w:r>
          </w:p>
        </w:tc>
      </w:tr>
      <w:tr>
        <w:tc>
          <w:tcPr>
            <w:tcW w:type="dxa" w:w="2200"/>
            <w:shd w:fill="F3F5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2937"/>
                <w:sz w:val="20"/>
              </w:rPr>
              <w:t>临时密码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16213E"/>
                <w:sz w:val="20"/>
              </w:rPr>
              <w:t>EduMindTeam#2026!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9DEEA"/>
          <w:left w:val="single" w:sz="5" w:color="D9DEEA"/>
          <w:bottom w:val="single" w:sz="5" w:color="D9DEEA"/>
          <w:right w:val="single" w:sz="5" w:color="D9DEEA"/>
          <w:insideH w:val="single" w:sz="5" w:color="D9DEEA"/>
          <w:insideV w:val="single" w:sz="5" w:color="D9DEEA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7E6"/>
          </w:tcPr>
          <w:p>
            <w:pPr>
              <w:spacing w:after="40" w:line="288" w:lineRule="auto"/>
            </w:pPr>
            <w:r>
              <w:rPr>
                <w:rFonts w:ascii="Calibri" w:hAnsi="Calibri" w:eastAsia="Microsoft YaHei"/>
                <w:b/>
                <w:color w:val="B42318"/>
                <w:sz w:val="22"/>
              </w:rPr>
              <w:t xml:space="preserve">安全要求  </w:t>
            </w:r>
            <w:r>
              <w:rPr>
                <w:rFonts w:ascii="Calibri" w:hAnsi="Calibri" w:eastAsia="Microsoft YaHei"/>
                <w:color w:val="1F2937"/>
                <w:sz w:val="22"/>
              </w:rPr>
              <w:t>首次登录后立即在管理员页面底部修改临时密码。团队成员不得把修改后的密码或真实Key提交到Git、群文件或公开网盘。</w:t>
            </w:r>
          </w:p>
        </w:tc>
      </w:tr>
    </w:tbl>
    <w:p>
      <w:pPr>
        <w:spacing w:after="40"/>
      </w:pPr>
    </w:p>
    <w:p>
      <w:pPr>
        <w:pStyle w:val="Heading2"/>
      </w:pPr>
      <w:r>
        <w:t>3.4 配置对话模型和向量模型</w:t>
      </w:r>
    </w:p>
    <w:p>
      <w:pPr>
        <w:spacing w:after="80" w:line="300" w:lineRule="auto"/>
        <w:numPr>
          <w:ilvl w:val="0"/>
          <w:numId w:val="102"/>
        </w:numPr>
      </w:pPr>
      <w:r>
        <w:rPr>
          <w:rFonts w:ascii="Calibri" w:hAnsi="Calibri" w:eastAsia="Microsoft YaHei"/>
          <w:color w:val="1F2937"/>
          <w:sz w:val="22"/>
        </w:rPr>
        <w:t>进入管理员中心的“模型配置”。</w:t>
      </w:r>
    </w:p>
    <w:p>
      <w:pPr>
        <w:spacing w:after="80" w:line="300" w:lineRule="auto"/>
        <w:numPr>
          <w:ilvl w:val="0"/>
          <w:numId w:val="102"/>
        </w:numPr>
      </w:pPr>
      <w:r>
        <w:rPr>
          <w:rFonts w:ascii="Calibri" w:hAnsi="Calibri" w:eastAsia="Microsoft YaHei"/>
          <w:color w:val="1F2937"/>
          <w:sz w:val="22"/>
        </w:rPr>
        <w:t>在“AI对话模型”中填写API Key、Base URL和模型名称。默认示例为 SiliconFlow + Qwen/Qwen3.5-9B。</w:t>
      </w:r>
    </w:p>
    <w:p>
      <w:pPr>
        <w:spacing w:after="80" w:line="300" w:lineRule="auto"/>
        <w:numPr>
          <w:ilvl w:val="0"/>
          <w:numId w:val="102"/>
        </w:numPr>
      </w:pPr>
      <w:r>
        <w:rPr>
          <w:rFonts w:ascii="Calibri" w:hAnsi="Calibri" w:eastAsia="Microsoft YaHei"/>
          <w:color w:val="1F2937"/>
          <w:sz w:val="22"/>
        </w:rPr>
        <w:t>在“知识库向量模型”中填写API Key、Base URL、模型名称和向量维度。默认示例为 BAAI/bge-m3，维度1024。</w:t>
      </w:r>
    </w:p>
    <w:p>
      <w:pPr>
        <w:spacing w:after="80" w:line="300" w:lineRule="auto"/>
        <w:numPr>
          <w:ilvl w:val="0"/>
          <w:numId w:val="102"/>
        </w:numPr>
      </w:pPr>
      <w:r>
        <w:rPr>
          <w:rFonts w:ascii="Calibri" w:hAnsi="Calibri" w:eastAsia="Microsoft YaHei"/>
          <w:color w:val="1F2937"/>
          <w:sz w:val="22"/>
        </w:rPr>
        <w:t>两个模型使用同一平台时，可以填写同一个Key；跨平台时分别填写。</w:t>
      </w:r>
    </w:p>
    <w:p>
      <w:pPr>
        <w:spacing w:after="80" w:line="300" w:lineRule="auto"/>
        <w:numPr>
          <w:ilvl w:val="0"/>
          <w:numId w:val="102"/>
        </w:numPr>
      </w:pPr>
      <w:r>
        <w:rPr>
          <w:rFonts w:ascii="Calibri" w:hAnsi="Calibri" w:eastAsia="Microsoft YaHei"/>
          <w:color w:val="1F2937"/>
          <w:sz w:val="22"/>
        </w:rPr>
        <w:t>先点击“测试连接”，确认成功后再保存配置。连接测试会产生极少量模型调用。</w:t>
      </w:r>
    </w:p>
    <w:p>
      <w:pPr>
        <w:spacing w:after="80" w:line="300" w:lineRule="auto"/>
        <w:numPr>
          <w:ilvl w:val="0"/>
          <w:numId w:val="102"/>
        </w:numPr>
      </w:pPr>
      <w:r>
        <w:rPr>
          <w:rFonts w:ascii="Calibri" w:hAnsi="Calibri" w:eastAsia="Microsoft YaHei"/>
          <w:color w:val="1F2937"/>
          <w:sz w:val="22"/>
        </w:rPr>
        <w:t>更换向量模型或维度后，必须重新构建向量库。</w:t>
      </w:r>
    </w:p>
    <w:p>
      <w:r>
        <w:br w:type="page"/>
      </w:r>
    </w:p>
    <w:p>
      <w:pPr>
        <w:pStyle w:val="Heading2"/>
      </w:pPr>
      <w:r>
        <w:t>3.5 学生使用流程</w:t>
      </w:r>
    </w:p>
    <w:p>
      <w:pPr>
        <w:spacing w:after="80" w:line="300" w:lineRule="auto"/>
        <w:numPr>
          <w:ilvl w:val="0"/>
          <w:numId w:val="102"/>
        </w:numPr>
      </w:pPr>
      <w:r>
        <w:rPr>
          <w:rFonts w:ascii="Calibri" w:hAnsi="Calibri" w:eastAsia="Microsoft YaHei"/>
          <w:color w:val="1F2937"/>
          <w:sz w:val="22"/>
        </w:rPr>
        <w:t>学生在首页注册账号，填写姓名、年级、学科和目标分数。</w:t>
      </w:r>
    </w:p>
    <w:p>
      <w:pPr>
        <w:spacing w:after="80" w:line="300" w:lineRule="auto"/>
        <w:numPr>
          <w:ilvl w:val="0"/>
          <w:numId w:val="102"/>
        </w:numPr>
      </w:pPr>
      <w:r>
        <w:rPr>
          <w:rFonts w:ascii="Calibri" w:hAnsi="Calibri" w:eastAsia="Microsoft YaHei"/>
          <w:color w:val="1F2937"/>
          <w:sz w:val="22"/>
        </w:rPr>
        <w:t>进入学习主控台后，查看画像、当前计划和AI教练。</w:t>
      </w:r>
    </w:p>
    <w:p>
      <w:pPr>
        <w:spacing w:after="80" w:line="300" w:lineRule="auto"/>
        <w:numPr>
          <w:ilvl w:val="0"/>
          <w:numId w:val="102"/>
        </w:numPr>
      </w:pPr>
      <w:r>
        <w:rPr>
          <w:rFonts w:ascii="Calibri" w:hAnsi="Calibri" w:eastAsia="Microsoft YaHei"/>
          <w:color w:val="1F2937"/>
          <w:sz w:val="22"/>
        </w:rPr>
        <w:t>完成学习步骤或阶段测评，结果会更新掌握度和推荐计划。</w:t>
      </w:r>
    </w:p>
    <w:p>
      <w:pPr>
        <w:spacing w:after="80" w:line="300" w:lineRule="auto"/>
        <w:numPr>
          <w:ilvl w:val="0"/>
          <w:numId w:val="102"/>
        </w:numPr>
      </w:pPr>
      <w:r>
        <w:rPr>
          <w:rFonts w:ascii="Calibri" w:hAnsi="Calibri" w:eastAsia="Microsoft YaHei"/>
          <w:color w:val="1F2937"/>
          <w:sz w:val="22"/>
        </w:rPr>
        <w:t>在错题本、知识图谱和进度页查看薄弱点与变化。</w:t>
      </w:r>
    </w:p>
    <w:p>
      <w:pPr>
        <w:spacing w:after="80" w:line="300" w:lineRule="auto"/>
        <w:numPr>
          <w:ilvl w:val="0"/>
          <w:numId w:val="102"/>
        </w:numPr>
      </w:pPr>
      <w:r>
        <w:rPr>
          <w:rFonts w:ascii="Calibri" w:hAnsi="Calibri" w:eastAsia="Microsoft YaHei"/>
          <w:color w:val="1F2937"/>
          <w:sz w:val="22"/>
        </w:rPr>
        <w:t>点击右上角“账户设置”修改资料或密码。</w:t>
      </w:r>
    </w:p>
    <w:p>
      <w:pPr>
        <w:pStyle w:val="Heading2"/>
      </w:pPr>
      <w:r>
        <w:t>3.6 常见问题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9DEEA"/>
          <w:left w:val="single" w:sz="5" w:color="D9DEEA"/>
          <w:bottom w:val="single" w:sz="5" w:color="D9DEEA"/>
          <w:right w:val="single" w:sz="5" w:color="D9DEEA"/>
          <w:insideH w:val="single" w:sz="5" w:color="D9DEEA"/>
          <w:insideV w:val="single" w:sz="5" w:color="D9DEEA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16213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6760"/>
            <w:shd w:fill="16213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9"/>
              </w:rPr>
              <w:t>处理方式</w:t>
            </w:r>
          </w:p>
        </w:tc>
      </w:tr>
      <w:tr>
        <w:tc>
          <w:tcPr>
            <w:tcW w:type="dxa" w:w="2600"/>
            <w:shd w:fill="F3F5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2937"/>
                <w:sz w:val="19"/>
              </w:rPr>
              <w:t>登录后又回到登录页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确认后端服务正常、系统时间正确，并重新启动两个服务窗口。旧Token失效时需重新登录。</w:t>
            </w:r>
          </w:p>
        </w:tc>
      </w:tr>
      <w:tr>
        <w:tc>
          <w:tcPr>
            <w:tcW w:type="dxa" w:w="2600"/>
            <w:shd w:fill="F3F5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2937"/>
                <w:sz w:val="19"/>
              </w:rPr>
              <w:t>模型显示未配置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使用管理员账户进入模型配置，分别填写对话和向量模型Key。共享版已主动清空个人Key。</w:t>
            </w:r>
          </w:p>
        </w:tc>
      </w:tr>
      <w:tr>
        <w:tc>
          <w:tcPr>
            <w:tcW w:type="dxa" w:w="2600"/>
            <w:shd w:fill="F3F5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2937"/>
                <w:sz w:val="19"/>
              </w:rPr>
              <w:t>知识库检索失败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核对向量模型和维度；更换过模型或维度时需重建向量库。</w:t>
            </w:r>
          </w:p>
        </w:tc>
      </w:tr>
      <w:tr>
        <w:tc>
          <w:tcPr>
            <w:tcW w:type="dxa" w:w="2600"/>
            <w:shd w:fill="F3F5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2937"/>
                <w:sz w:val="19"/>
              </w:rPr>
              <w:t>公式仍显示原始符号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刷新页面并确认前端依赖安装完整；不要直接使用旧的frontend/dist。</w:t>
            </w:r>
          </w:p>
        </w:tc>
      </w:tr>
      <w:tr>
        <w:tc>
          <w:tcPr>
            <w:tcW w:type="dxa" w:w="2600"/>
            <w:shd w:fill="F3F5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2937"/>
                <w:sz w:val="19"/>
              </w:rPr>
              <w:t>忘记学生密码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管理员进入用户管理，为学生设置临时密码；学生登录后再自行修改。</w:t>
            </w:r>
          </w:p>
        </w:tc>
      </w:tr>
      <w:tr>
        <w:tc>
          <w:tcPr>
            <w:tcW w:type="dxa" w:w="2600"/>
            <w:shd w:fill="F3F5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2937"/>
                <w:sz w:val="19"/>
              </w:rPr>
              <w:t>端口被占用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关闭重复启动的服务窗口，确认8000和5173端口没有被其他程序占用。</w:t>
            </w:r>
          </w:p>
        </w:tc>
      </w:tr>
    </w:tbl>
    <w:p>
      <w:pPr>
        <w:pStyle w:val="Heading1"/>
      </w:pPr>
      <w:r>
        <w:t>4. 团队协作与安全规则</w:t>
      </w:r>
    </w:p>
    <w:p>
      <w:pPr>
        <w:pStyle w:val="Heading2"/>
      </w:pPr>
      <w:r>
        <w:t>4.1 建议分工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9DEEA"/>
          <w:left w:val="single" w:sz="5" w:color="D9DEEA"/>
          <w:bottom w:val="single" w:sz="5" w:color="D9DEEA"/>
          <w:right w:val="single" w:sz="5" w:color="D9DEEA"/>
          <w:insideH w:val="single" w:sz="5" w:color="D9DEEA"/>
          <w:insideV w:val="single" w:sz="5" w:color="D9DEEA"/>
        </w:tblBorders>
      </w:tblPr>
      <w:tblGrid>
        <w:gridCol w:w="2100"/>
        <w:gridCol w:w="7260"/>
      </w:tblGrid>
      <w:tr>
        <w:tc>
          <w:tcPr>
            <w:tcW w:type="dxa" w:w="2100"/>
            <w:shd w:fill="16213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7260"/>
            <w:shd w:fill="16213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9"/>
              </w:rPr>
              <w:t>主要职责</w:t>
            </w:r>
          </w:p>
        </w:tc>
      </w:tr>
      <w:tr>
        <w:tc>
          <w:tcPr>
            <w:tcW w:type="dxa" w:w="2100"/>
            <w:shd w:fill="F3F5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2937"/>
                <w:sz w:val="19"/>
              </w:rPr>
              <w:t>产品与答辩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确定目标用户、参赛叙事、需求优先级和演示脚本</w:t>
            </w:r>
          </w:p>
        </w:tc>
      </w:tr>
      <w:tr>
        <w:tc>
          <w:tcPr>
            <w:tcW w:type="dxa" w:w="2100"/>
            <w:shd w:fill="F3F5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2937"/>
                <w:sz w:val="19"/>
              </w:rPr>
              <w:t>算法与RAG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知识诊断、个性化推荐、向量库、引用与效果指标</w:t>
            </w:r>
          </w:p>
        </w:tc>
      </w:tr>
      <w:tr>
        <w:tc>
          <w:tcPr>
            <w:tcW w:type="dxa" w:w="2100"/>
            <w:shd w:fill="F3F5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2937"/>
                <w:sz w:val="19"/>
              </w:rPr>
              <w:t>后端与数据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接口、数据库、权限、日志、部署和数据治理</w:t>
            </w:r>
          </w:p>
        </w:tc>
      </w:tr>
      <w:tr>
        <w:tc>
          <w:tcPr>
            <w:tcW w:type="dxa" w:w="2100"/>
            <w:shd w:fill="F3F5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2937"/>
                <w:sz w:val="19"/>
              </w:rPr>
              <w:t>前端与交互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学生端、管理员端、可视化、移动适配和演示体验</w:t>
            </w:r>
          </w:p>
        </w:tc>
      </w:tr>
      <w:tr>
        <w:tc>
          <w:tcPr>
            <w:tcW w:type="dxa" w:w="2100"/>
            <w:shd w:fill="F3F5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2937"/>
                <w:sz w:val="19"/>
              </w:rPr>
              <w:t>测试与实验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回归测试、样本设计、前后测、对照实验和结果分析</w:t>
            </w:r>
          </w:p>
        </w:tc>
      </w:tr>
      <w:tr>
        <w:tc>
          <w:tcPr>
            <w:tcW w:type="dxa" w:w="2100"/>
            <w:shd w:fill="F3F5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2937"/>
                <w:sz w:val="19"/>
              </w:rPr>
              <w:t>材料与商业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项目书、市场场景、商业模式、PPT、视频和用户访谈</w:t>
            </w:r>
          </w:p>
        </w:tc>
      </w:tr>
    </w:tbl>
    <w:p>
      <w:pPr>
        <w:pStyle w:val="Heading2"/>
      </w:pPr>
      <w:r>
        <w:t>4.2 协作约定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F2937"/>
          <w:sz w:val="22"/>
        </w:rPr>
        <w:t>每项功能先写清目标、输入、输出和验收标准，再开始编码。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F2937"/>
          <w:sz w:val="22"/>
        </w:rPr>
        <w:t>每人使用独立Git分支，合并前至少完成一次代码审查和测试。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F2937"/>
          <w:sz w:val="22"/>
        </w:rPr>
        <w:t>不要提交 .env、真实Key、data目录、数据库、向量库、venv、node_modules和日志。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F2937"/>
          <w:sz w:val="22"/>
        </w:rPr>
        <w:t>接口或数据库字段修改时，同步更新测试、迁移文件和本说明。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F2937"/>
          <w:sz w:val="22"/>
        </w:rPr>
        <w:t>演示前冻结版本，只修阻塞问题，避免临场增加大功能。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9DEEA"/>
          <w:left w:val="single" w:sz="5" w:color="D9DEEA"/>
          <w:bottom w:val="single" w:sz="5" w:color="D9DEEA"/>
          <w:right w:val="single" w:sz="5" w:color="D9DEEA"/>
          <w:insideH w:val="single" w:sz="5" w:color="D9DEEA"/>
          <w:insideV w:val="single" w:sz="5" w:color="D9DEEA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7E6"/>
          </w:tcPr>
          <w:p>
            <w:pPr>
              <w:spacing w:after="40" w:line="288" w:lineRule="auto"/>
            </w:pPr>
            <w:r>
              <w:rPr>
                <w:rFonts w:ascii="Calibri" w:hAnsi="Calibri" w:eastAsia="Microsoft YaHei"/>
                <w:b/>
                <w:color w:val="B42318"/>
                <w:sz w:val="22"/>
              </w:rPr>
              <w:t xml:space="preserve">密钥规则  </w:t>
            </w:r>
            <w:r>
              <w:rPr>
                <w:rFonts w:ascii="Calibri" w:hAnsi="Calibri" w:eastAsia="Microsoft YaHei"/>
                <w:color w:val="1F2937"/>
                <w:sz w:val="22"/>
              </w:rPr>
              <w:t>真实Key只能由实际使用者在管理员页面填写。若曾把Key发到群聊、代码仓库或压缩包，应立即在服务商后台撤销并重新生成。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当前不足与未来开发方向</w:t>
      </w:r>
    </w:p>
    <w:p>
      <w:pPr>
        <w:pStyle w:val="Heading2"/>
      </w:pPr>
      <w:r>
        <w:t>5.1 最重要的方向调整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9DEEA"/>
          <w:left w:val="single" w:sz="5" w:color="D9DEEA"/>
          <w:bottom w:val="single" w:sz="5" w:color="D9DEEA"/>
          <w:right w:val="single" w:sz="5" w:color="D9DEEA"/>
          <w:insideH w:val="single" w:sz="5" w:color="D9DEEA"/>
          <w:insideV w:val="single" w:sz="5" w:color="D9DEEA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8F2"/>
          </w:tcPr>
          <w:p>
            <w:pPr>
              <w:spacing w:after="40" w:line="288" w:lineRule="auto"/>
            </w:pPr>
            <w:r>
              <w:rPr>
                <w:rFonts w:ascii="Calibri" w:hAnsi="Calibri" w:eastAsia="Microsoft YaHei"/>
                <w:b/>
                <w:color w:val="0E7490"/>
                <w:sz w:val="22"/>
              </w:rPr>
              <w:t xml:space="preserve">建议决策  </w:t>
            </w:r>
            <w:r>
              <w:rPr>
                <w:rFonts w:ascii="Calibri" w:hAnsi="Calibri" w:eastAsia="Microsoft YaHei"/>
                <w:color w:val="1F2937"/>
                <w:sz w:val="22"/>
              </w:rPr>
              <w:t>不彻底换项目，而是把现有功能重新组织为“可解释的学习诊断与干预系统”。聚焦一个明确学科场景，用真实数据证明系统能够发现薄弱点、给出干预并带来学习增益。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 w:eastAsia="Microsoft YaHei"/>
          <w:b/>
          <w:color w:val="1F2937"/>
          <w:sz w:val="22"/>
        </w:rPr>
        <w:t>原因一：</w:t>
      </w:r>
      <w:r>
        <w:rPr>
          <w:rFonts w:ascii="Calibri" w:hAnsi="Calibri" w:eastAsia="Microsoft YaHei"/>
          <w:color w:val="1F2937"/>
          <w:sz w:val="22"/>
        </w:rPr>
        <w:t>现有的画像、测评、计划、AI辅导、错题和进度功能天然适合形成诊断闭环，改造成本低。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color w:val="1F2937"/>
          <w:sz w:val="22"/>
        </w:rPr>
        <w:t>原因二：</w:t>
      </w:r>
      <w:r>
        <w:rPr>
          <w:rFonts w:ascii="Calibri" w:hAnsi="Calibri" w:eastAsia="Microsoft YaHei"/>
          <w:color w:val="1F2937"/>
          <w:sz w:val="22"/>
        </w:rPr>
        <w:t>如果只强调聊天和自动生成内容，很容易被认为是大模型套壳；诊断模型、干预策略和效果评估更能体现技术创新。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color w:val="1F2937"/>
          <w:sz w:val="22"/>
        </w:rPr>
        <w:t>原因三：</w:t>
      </w:r>
      <w:r>
        <w:rPr>
          <w:rFonts w:ascii="Calibri" w:hAnsi="Calibri" w:eastAsia="Microsoft YaHei"/>
          <w:color w:val="1F2937"/>
          <w:sz w:val="22"/>
        </w:rPr>
        <w:t>闭环可以被量化。前测、后测、掌握度变化、学习时间和计划完成率都能成为答辩证据。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color w:val="1F2937"/>
          <w:sz w:val="22"/>
        </w:rPr>
        <w:t>原因四：</w:t>
      </w:r>
      <w:r>
        <w:rPr>
          <w:rFonts w:ascii="Calibri" w:hAnsi="Calibri" w:eastAsia="Microsoft YaHei"/>
          <w:color w:val="1F2937"/>
          <w:sz w:val="22"/>
        </w:rPr>
        <w:t>聚焦场景有利于商业化。学校、教师和培训机构更愿意为可追踪、可解释的学习改进结果付费。</w:t>
      </w:r>
    </w:p>
    <w:p>
      <w:pPr>
        <w:pStyle w:val="Heading2"/>
      </w:pPr>
      <w:r>
        <w:t>5.2 路线优先级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9DEEA"/>
          <w:left w:val="single" w:sz="5" w:color="D9DEEA"/>
          <w:bottom w:val="single" w:sz="5" w:color="D9DEEA"/>
          <w:right w:val="single" w:sz="5" w:color="D9DEEA"/>
          <w:insideH w:val="single" w:sz="5" w:color="D9DEEA"/>
          <w:insideV w:val="single" w:sz="5" w:color="D9DEEA"/>
        </w:tblBorders>
      </w:tblPr>
      <w:tblGrid>
        <w:gridCol w:w="650"/>
        <w:gridCol w:w="1700"/>
        <w:gridCol w:w="3810"/>
        <w:gridCol w:w="3200"/>
      </w:tblGrid>
      <w:tr>
        <w:trPr>
          <w:tblHeader w:val="true"/>
        </w:trPr>
        <w:tc>
          <w:tcPr>
            <w:tcW w:type="dxa" w:w="650"/>
            <w:shd w:fill="16213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1700"/>
            <w:shd w:fill="16213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方向</w:t>
            </w:r>
          </w:p>
        </w:tc>
        <w:tc>
          <w:tcPr>
            <w:tcW w:type="dxa" w:w="3810"/>
            <w:shd w:fill="16213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建议内容</w:t>
            </w:r>
          </w:p>
        </w:tc>
        <w:tc>
          <w:tcPr>
            <w:tcW w:type="dxa" w:w="3200"/>
            <w:shd w:fill="16213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原因</w:t>
            </w:r>
          </w:p>
        </w:tc>
      </w:tr>
      <w:tr>
        <w:tc>
          <w:tcPr>
            <w:tcW w:type="dxa" w:w="650"/>
            <w:shd w:fill="EAF8F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B42318"/>
                <w:sz w:val="18"/>
              </w:rPr>
              <w:t>P0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诊断与干预算法</w:t>
            </w:r>
          </w:p>
        </w:tc>
        <w:tc>
          <w:tcPr>
            <w:tcW w:type="dxa" w:w="3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把测评结果、知识点掌握度、错题类型和学习行为融合为可解释诊断；计划根据新结果自动调整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这是现有功能链最自然的技术升级，也是区别于通用聊天机器人的核心</w:t>
            </w:r>
          </w:p>
        </w:tc>
      </w:tr>
      <w:tr>
        <w:tc>
          <w:tcPr>
            <w:tcW w:type="dxa" w:w="650"/>
            <w:shd w:fill="EAF8F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B42318"/>
                <w:sz w:val="18"/>
              </w:rPr>
              <w:t>P0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效果评估体系</w:t>
            </w:r>
          </w:p>
        </w:tc>
        <w:tc>
          <w:tcPr>
            <w:tcW w:type="dxa" w:w="3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记录前测/后测、学习增益、完成率、用时、提示次数和计划调整次数，支持实验组/对照组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竞赛需要证明系统有效，而不仅是能运行</w:t>
            </w:r>
          </w:p>
        </w:tc>
      </w:tr>
      <w:tr>
        <w:tc>
          <w:tcPr>
            <w:tcW w:type="dxa" w:w="650"/>
            <w:shd w:fill="EAF8F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B42318"/>
                <w:sz w:val="18"/>
              </w:rPr>
              <w:t>P0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知识库管理</w:t>
            </w:r>
          </w:p>
        </w:tc>
        <w:tc>
          <w:tcPr>
            <w:tcW w:type="dxa" w:w="3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增加管理员资料上传、切分预览、向量化进度、来源引用和重建功能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目前知识库底层已存在，但缺少可演示、可维护的完整入口</w:t>
            </w:r>
          </w:p>
        </w:tc>
      </w:tr>
      <w:tr>
        <w:tc>
          <w:tcPr>
            <w:tcW w:type="dxa" w:w="650"/>
            <w:shd w:fill="FFF7E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P1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教师/教练端</w:t>
            </w:r>
          </w:p>
        </w:tc>
        <w:tc>
          <w:tcPr>
            <w:tcW w:type="dxa" w:w="3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提供班级概览、薄弱知识点分布、干预建议和学生跟进记录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让项目从个人工具扩展为有明确付费对象的教学产品</w:t>
            </w:r>
          </w:p>
        </w:tc>
      </w:tr>
      <w:tr>
        <w:tc>
          <w:tcPr>
            <w:tcW w:type="dxa" w:w="650"/>
            <w:shd w:fill="FFF7E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P1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可解释推荐</w:t>
            </w:r>
          </w:p>
        </w:tc>
        <w:tc>
          <w:tcPr>
            <w:tcW w:type="dxa" w:w="3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每条学习计划说明依据：哪次测评、哪些错题、哪些知识点触发了推荐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提升可信度，也便于答辩展示技术逻辑</w:t>
            </w:r>
          </w:p>
        </w:tc>
      </w:tr>
      <w:tr>
        <w:tc>
          <w:tcPr>
            <w:tcW w:type="dxa" w:w="650"/>
            <w:shd w:fill="FFF7E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P1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模型可靠性与成本</w:t>
            </w:r>
          </w:p>
        </w:tc>
        <w:tc>
          <w:tcPr>
            <w:tcW w:type="dxa" w:w="3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增加模型降级、超时重试、调用统计、费用预估和敏感信息审计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保证多人演示和实际部署时稳定可控</w:t>
            </w:r>
          </w:p>
        </w:tc>
      </w:tr>
      <w:tr>
        <w:tc>
          <w:tcPr>
            <w:tcW w:type="dxa" w:w="650"/>
            <w:shd w:fill="F3F5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P2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场景聚焦与商业验证</w:t>
            </w:r>
          </w:p>
        </w:tc>
        <w:tc>
          <w:tcPr>
            <w:tcW w:type="dxa" w:w="3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优先选择一个高频场景，如初中数学薄弱点诊断与补救，并开展小规模真实用户测试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聚焦能降低内容和评测成本，也更容易形成明确商业价值</w:t>
            </w:r>
          </w:p>
        </w:tc>
      </w:tr>
      <w:tr>
        <w:tc>
          <w:tcPr>
            <w:tcW w:type="dxa" w:w="650"/>
            <w:shd w:fill="F3F5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P2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8"/>
              </w:rPr>
              <w:t>便携部署</w:t>
            </w:r>
          </w:p>
        </w:tc>
        <w:tc>
          <w:tcPr>
            <w:tcW w:type="dxa" w:w="3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制作无需 Node/Python 的 Windows 演示包，并准备云端多人版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降低比赛现场环境风险，为后续试点交付做准备</w:t>
            </w:r>
          </w:p>
        </w:tc>
      </w:tr>
    </w:tbl>
    <w:p>
      <w:pPr>
        <w:pStyle w:val="Heading2"/>
      </w:pPr>
      <w:r>
        <w:t>5.3 建议的四阶段推进</w:t>
      </w:r>
    </w:p>
    <w:p>
      <w:pPr>
        <w:spacing w:after="80" w:line="300" w:lineRule="auto"/>
        <w:numPr>
          <w:ilvl w:val="0"/>
          <w:numId w:val="102"/>
        </w:numPr>
      </w:pPr>
      <w:r>
        <w:rPr>
          <w:rFonts w:ascii="Calibri" w:hAnsi="Calibri" w:eastAsia="Microsoft YaHei"/>
          <w:color w:val="1F2937"/>
          <w:sz w:val="22"/>
        </w:rPr>
        <w:t>阶段一｜稳定与统一（1周）：冻结本次团队版，补齐知识库管理入口、错误提示和演示数据；确定唯一参赛场景。</w:t>
      </w:r>
    </w:p>
    <w:p>
      <w:pPr>
        <w:spacing w:after="80" w:line="300" w:lineRule="auto"/>
        <w:numPr>
          <w:ilvl w:val="0"/>
          <w:numId w:val="102"/>
        </w:numPr>
      </w:pPr>
      <w:r>
        <w:rPr>
          <w:rFonts w:ascii="Calibri" w:hAnsi="Calibri" w:eastAsia="Microsoft YaHei"/>
          <w:color w:val="1F2937"/>
          <w:sz w:val="22"/>
        </w:rPr>
        <w:t>阶段二｜技术核心（2-3周）：完成可解释诊断、干预规则/模型、计划动态调整和推荐依据展示。</w:t>
      </w:r>
    </w:p>
    <w:p>
      <w:pPr>
        <w:spacing w:after="80" w:line="300" w:lineRule="auto"/>
        <w:numPr>
          <w:ilvl w:val="0"/>
          <w:numId w:val="102"/>
        </w:numPr>
      </w:pPr>
      <w:r>
        <w:rPr>
          <w:rFonts w:ascii="Calibri" w:hAnsi="Calibri" w:eastAsia="Microsoft YaHei"/>
          <w:color w:val="1F2937"/>
          <w:sz w:val="22"/>
        </w:rPr>
        <w:t>阶段三｜真实验证（2周）：招募小规模用户开展前测/后测，记录学习增益、完成率、时间和满意度。</w:t>
      </w:r>
    </w:p>
    <w:p>
      <w:pPr>
        <w:spacing w:after="80" w:line="300" w:lineRule="auto"/>
        <w:numPr>
          <w:ilvl w:val="0"/>
          <w:numId w:val="102"/>
        </w:numPr>
      </w:pPr>
      <w:r>
        <w:rPr>
          <w:rFonts w:ascii="Calibri" w:hAnsi="Calibri" w:eastAsia="Microsoft YaHei"/>
          <w:color w:val="1F2937"/>
          <w:sz w:val="22"/>
        </w:rPr>
        <w:t>阶段四｜参赛表达（1-2周）：把技术架构、实验结果、用户故事、商业场景和现场演示统一成一条叙事。</w:t>
      </w:r>
    </w:p>
    <w:p>
      <w:pPr>
        <w:pStyle w:val="Heading2"/>
      </w:pPr>
      <w:r>
        <w:t>5.4 建议暂缓的方向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F2937"/>
          <w:sz w:val="22"/>
        </w:rPr>
        <w:t>不要同时扩展所有学科和全年级，内容与评测成本会迅速失控。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F2937"/>
          <w:sz w:val="22"/>
        </w:rPr>
        <w:t>不要优先追求数字人、3D教室等重展示功能，除非能够直接支持诊断与干预。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F2937"/>
          <w:sz w:val="22"/>
        </w:rPr>
        <w:t>不要堆叠多个大模型名称作为创新点，应把重点放在数据、算法、策略和效果。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F2937"/>
          <w:sz w:val="22"/>
        </w:rPr>
        <w:t>不要过早建设复杂微服务或大规模云架构，先完成可验证的核心价值。</w:t>
      </w:r>
    </w:p>
    <w:p>
      <w:r>
        <w:br w:type="page"/>
      </w:r>
    </w:p>
    <w:p>
      <w:pPr>
        <w:pStyle w:val="Heading1"/>
      </w:pPr>
      <w:r>
        <w:t>6. 团队共享版验收清单</w:t>
      </w:r>
    </w:p>
    <w:p>
      <w:pPr>
        <w:pStyle w:val="Heading2"/>
      </w:pPr>
      <w:r>
        <w:t>6.1 本次交付已完成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F2937"/>
          <w:sz w:val="22"/>
        </w:rPr>
        <w:t>个人对话模型Key已从 .env 清除。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F2937"/>
          <w:sz w:val="22"/>
        </w:rPr>
        <w:t>个人向量模型Key已从 .env 清除。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F2937"/>
          <w:sz w:val="22"/>
        </w:rPr>
        <w:t>数据库中加密保存的两份模型Key已清除。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F2937"/>
          <w:sz w:val="22"/>
        </w:rPr>
        <w:t>学生与管理员权限、账户管理和密码流程已接通。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F2937"/>
          <w:sz w:val="22"/>
        </w:rPr>
        <w:t>数据库升级文件已生效，当前版本为最新迁移。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F2937"/>
          <w:sz w:val="22"/>
        </w:rPr>
        <w:t>后端24项自动化测试全部通过。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F2937"/>
          <w:sz w:val="22"/>
        </w:rPr>
        <w:t>前端生产构建通过。</w:t>
      </w:r>
    </w:p>
    <w:p>
      <w:pPr>
        <w:spacing w:after="80" w:line="300" w:lineRule="auto"/>
        <w:numPr>
          <w:ilvl w:val="0"/>
          <w:numId w:val="101"/>
        </w:numPr>
      </w:pPr>
      <w:r>
        <w:rPr>
          <w:rFonts w:ascii="Calibri" w:hAnsi="Calibri" w:eastAsia="Microsoft YaHei"/>
          <w:color w:val="1F2937"/>
          <w:sz w:val="22"/>
        </w:rPr>
        <w:t>管理员用户管理页和学生账户页已完成浏览器验收。</w:t>
      </w:r>
    </w:p>
    <w:p>
      <w:pPr>
        <w:pStyle w:val="Heading2"/>
      </w:pPr>
      <w:r>
        <w:t>6.2 组员收到ZIP后</w:t>
      </w:r>
    </w:p>
    <w:p>
      <w:pPr>
        <w:spacing w:after="80" w:line="300" w:lineRule="auto"/>
        <w:numPr>
          <w:ilvl w:val="0"/>
          <w:numId w:val="102"/>
        </w:numPr>
      </w:pPr>
      <w:r>
        <w:rPr>
          <w:rFonts w:ascii="Calibri" w:hAnsi="Calibri" w:eastAsia="Microsoft YaHei"/>
          <w:color w:val="1F2937"/>
          <w:sz w:val="22"/>
        </w:rPr>
        <w:t>核对ZIP文件来源，不使用来历不明的修改版。</w:t>
      </w:r>
    </w:p>
    <w:p>
      <w:pPr>
        <w:spacing w:after="80" w:line="300" w:lineRule="auto"/>
        <w:numPr>
          <w:ilvl w:val="0"/>
          <w:numId w:val="102"/>
        </w:numPr>
      </w:pPr>
      <w:r>
        <w:rPr>
          <w:rFonts w:ascii="Calibri" w:hAnsi="Calibri" w:eastAsia="Microsoft YaHei"/>
          <w:color w:val="1F2937"/>
          <w:sz w:val="22"/>
        </w:rPr>
        <w:t>按第3部分安装Python和Node.js并启动项目。</w:t>
      </w:r>
    </w:p>
    <w:p>
      <w:pPr>
        <w:spacing w:after="80" w:line="300" w:lineRule="auto"/>
        <w:numPr>
          <w:ilvl w:val="0"/>
          <w:numId w:val="102"/>
        </w:numPr>
      </w:pPr>
      <w:r>
        <w:rPr>
          <w:rFonts w:ascii="Calibri" w:hAnsi="Calibri" w:eastAsia="Microsoft YaHei"/>
          <w:color w:val="1F2937"/>
          <w:sz w:val="22"/>
        </w:rPr>
        <w:t>首次登录管理员后立即修改临时密码。</w:t>
      </w:r>
    </w:p>
    <w:p>
      <w:pPr>
        <w:spacing w:after="80" w:line="300" w:lineRule="auto"/>
        <w:numPr>
          <w:ilvl w:val="0"/>
          <w:numId w:val="102"/>
        </w:numPr>
      </w:pPr>
      <w:r>
        <w:rPr>
          <w:rFonts w:ascii="Calibri" w:hAnsi="Calibri" w:eastAsia="Microsoft YaHei"/>
          <w:color w:val="1F2937"/>
          <w:sz w:val="22"/>
        </w:rPr>
        <w:t>只填写自己的模型Key，不互相转发真实Key。</w:t>
      </w:r>
    </w:p>
    <w:p>
      <w:pPr>
        <w:spacing w:after="80" w:line="300" w:lineRule="auto"/>
        <w:numPr>
          <w:ilvl w:val="0"/>
          <w:numId w:val="102"/>
        </w:numPr>
      </w:pPr>
      <w:r>
        <w:rPr>
          <w:rFonts w:ascii="Calibri" w:hAnsi="Calibri" w:eastAsia="Microsoft YaHei"/>
          <w:color w:val="1F2937"/>
          <w:sz w:val="22"/>
        </w:rPr>
        <w:t>注册一个测试学生，依次验证计划、AI辅导、测评、错题和进度。</w:t>
      </w:r>
    </w:p>
    <w:p>
      <w:pPr>
        <w:spacing w:after="80" w:line="300" w:lineRule="auto"/>
        <w:numPr>
          <w:ilvl w:val="0"/>
          <w:numId w:val="102"/>
        </w:numPr>
      </w:pPr>
      <w:r>
        <w:rPr>
          <w:rFonts w:ascii="Calibri" w:hAnsi="Calibri" w:eastAsia="Microsoft YaHei"/>
          <w:color w:val="1F2937"/>
          <w:sz w:val="22"/>
        </w:rPr>
        <w:t>认领第4部分中的角色，并围绕第5部分讨论下一阶段优先级。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9DEEA"/>
          <w:left w:val="single" w:sz="5" w:color="D9DEEA"/>
          <w:bottom w:val="single" w:sz="5" w:color="D9DEEA"/>
          <w:right w:val="single" w:sz="5" w:color="D9DEEA"/>
          <w:insideH w:val="single" w:sz="5" w:color="D9DEEA"/>
          <w:insideV w:val="single" w:sz="5" w:color="D9DEEA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9EEFF"/>
          </w:tcPr>
          <w:p>
            <w:pPr>
              <w:spacing w:after="40" w:line="288" w:lineRule="auto"/>
            </w:pPr>
            <w:r>
              <w:rPr>
                <w:rFonts w:ascii="Calibri" w:hAnsi="Calibri" w:eastAsia="Microsoft YaHei"/>
                <w:b/>
                <w:color w:val="6D5DFB"/>
                <w:sz w:val="22"/>
              </w:rPr>
              <w:t xml:space="preserve">交接结论  </w:t>
            </w:r>
            <w:r>
              <w:rPr>
                <w:rFonts w:ascii="Calibri" w:hAnsi="Calibri" w:eastAsia="Microsoft YaHei"/>
                <w:color w:val="1F2937"/>
                <w:sz w:val="22"/>
              </w:rPr>
              <w:t>当前团队版适合作为共同开发基线。短期重点不再是增加零散页面，而是让“诊断—干预—评估—再调整”真正由数据驱动，并形成可量化的竞赛证据。</w:t>
            </w:r>
          </w:p>
        </w:tc>
      </w:tr>
    </w:tbl>
    <w:p>
      <w:pPr>
        <w:spacing w:after="40"/>
      </w:pPr>
    </w:p>
    <w:p>
      <w:pPr>
        <w:spacing w:before="520"/>
        <w:jc w:val="center"/>
      </w:pPr>
      <w:r>
        <w:rPr>
          <w:rFonts w:ascii="Calibri" w:hAnsi="Calibri" w:eastAsia="Microsoft YaHei"/>
          <w:b/>
          <w:color w:val="667085"/>
          <w:sz w:val="19"/>
        </w:rPr>
        <w:t>— EduMind 团队共享版说明结束 —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667085"/>
        <w:sz w:val="18"/>
      </w:rPr>
      <w:t>EduMind  |  团队共享版说明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0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</w:abstractNum>
  <w:num w:numId="101">
    <w:abstractNumId w:val="101"/>
  </w:num>
  <w:abstractNum w:abstractNumId="10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2">
    <w:abstractNumId w:val="1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F51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3F51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6213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EduMind团队共享版：修改说明与使用指南</dc:title>
  <dc:subject>研究生创新创业大赛项目团队交接文档</dc:subject>
  <dc:creator/>
  <cp:keywords>EduMind, 团队共享版, 使用说明, 开发路线</cp:keywords>
  <dc:description>不包含个人模型密钥。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