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A2" w:rsidRPr="00F62BC0" w:rsidRDefault="009510A2" w:rsidP="009510A2">
      <w:pPr>
        <w:jc w:val="both"/>
        <w:rPr>
          <w:rFonts w:ascii="Verdana" w:hAnsi="Verdana"/>
          <w:color w:val="FF0000"/>
          <w:sz w:val="20"/>
          <w:szCs w:val="20"/>
        </w:rPr>
      </w:pPr>
      <w:r w:rsidRPr="00F62BC0">
        <w:rPr>
          <w:rFonts w:ascii="Verdana" w:hAnsi="Verdana"/>
          <w:color w:val="FF0000"/>
          <w:sz w:val="20"/>
          <w:szCs w:val="20"/>
        </w:rPr>
        <w:t>Privacy Policy</w:t>
      </w:r>
    </w:p>
    <w:p w:rsidR="009510A2" w:rsidRPr="00F62BC0" w:rsidRDefault="009510A2" w:rsidP="009510A2">
      <w:pPr>
        <w:jc w:val="both"/>
        <w:rPr>
          <w:rFonts w:ascii="Verdana" w:hAnsi="Verdana"/>
          <w:sz w:val="20"/>
          <w:szCs w:val="20"/>
        </w:rPr>
      </w:pPr>
    </w:p>
    <w:tbl>
      <w:tblPr>
        <w:tblW w:w="0" w:type="auto"/>
        <w:tblCellSpacing w:w="0" w:type="dxa"/>
        <w:tblCellMar>
          <w:left w:w="0" w:type="dxa"/>
          <w:right w:w="0" w:type="dxa"/>
        </w:tblCellMar>
        <w:tblLook w:val="0000" w:firstRow="0" w:lastRow="0" w:firstColumn="0" w:lastColumn="0" w:noHBand="0" w:noVBand="0"/>
      </w:tblPr>
      <w:tblGrid>
        <w:gridCol w:w="8640"/>
      </w:tblGrid>
      <w:tr w:rsidR="009510A2" w:rsidRPr="00F62BC0" w:rsidTr="00404513">
        <w:trPr>
          <w:tblCellSpacing w:w="0" w:type="dxa"/>
        </w:trPr>
        <w:tc>
          <w:tcPr>
            <w:tcW w:w="0" w:type="auto"/>
            <w:tcMar>
              <w:top w:w="150" w:type="dxa"/>
              <w:left w:w="150" w:type="dxa"/>
              <w:bottom w:w="150" w:type="dxa"/>
              <w:right w:w="150" w:type="dxa"/>
            </w:tcMar>
            <w:vAlign w:val="center"/>
          </w:tcPr>
          <w:p w:rsidR="009510A2" w:rsidRPr="00F62BC0" w:rsidRDefault="009510A2" w:rsidP="00404513">
            <w:pPr>
              <w:jc w:val="both"/>
              <w:rPr>
                <w:rFonts w:ascii="Verdana" w:hAnsi="Verdana"/>
                <w:sz w:val="20"/>
                <w:szCs w:val="20"/>
              </w:rPr>
            </w:pPr>
            <w:r w:rsidRPr="00F62BC0">
              <w:rPr>
                <w:rStyle w:val="a4"/>
                <w:rFonts w:ascii="Verdana" w:hAnsi="Verdana"/>
                <w:color w:val="991139"/>
                <w:sz w:val="20"/>
                <w:szCs w:val="20"/>
              </w:rPr>
              <w:t>Mobile App Privacy Statement</w:t>
            </w:r>
          </w:p>
        </w:tc>
      </w:tr>
      <w:tr w:rsidR="009510A2" w:rsidRPr="00F62BC0" w:rsidTr="00404513">
        <w:trPr>
          <w:tblCellSpacing w:w="0" w:type="dxa"/>
        </w:trPr>
        <w:tc>
          <w:tcPr>
            <w:tcW w:w="0" w:type="auto"/>
            <w:tcMar>
              <w:top w:w="150" w:type="dxa"/>
              <w:left w:w="150" w:type="dxa"/>
              <w:bottom w:w="150" w:type="dxa"/>
              <w:right w:w="150" w:type="dxa"/>
            </w:tcMar>
            <w:vAlign w:val="center"/>
          </w:tcPr>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This Statement sets out the policy of Assicurazioni Generali S.p.A. - Hong Kong branch ("Generali") in connection with the collection and use of your personal data through this application.</w:t>
            </w:r>
          </w:p>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General Statement of Principle</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Generali respects the privacy of the users of this application, and complies with its obligations under the Personal Data (Privacy) Ordinance, the governing legislation in Hong Kong.</w:t>
            </w:r>
          </w:p>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Kinds of Personal Data Held</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There are two broad categories of pers</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al data held by Generali. They are pers</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al data c</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tained in:</w:t>
            </w:r>
          </w:p>
          <w:p w:rsidR="009510A2" w:rsidRPr="00F62BC0" w:rsidRDefault="009510A2" w:rsidP="00404513">
            <w:pPr>
              <w:pStyle w:val="a3"/>
              <w:jc w:val="both"/>
              <w:rPr>
                <w:rFonts w:ascii="Verdana" w:hAnsi="Verdana"/>
                <w:sz w:val="20"/>
                <w:szCs w:val="20"/>
              </w:rPr>
            </w:pPr>
            <w:r w:rsidRPr="00F62BC0">
              <w:rPr>
                <w:rFonts w:ascii="Verdana" w:hAnsi="Verdana"/>
                <w:b/>
                <w:bCs/>
                <w:i/>
                <w:iCs/>
                <w:color w:val="484848"/>
                <w:sz w:val="20"/>
                <w:szCs w:val="20"/>
              </w:rPr>
              <w:t>Customer files and records</w:t>
            </w:r>
            <w:r w:rsidRPr="00F62BC0">
              <w:rPr>
                <w:rFonts w:ascii="Verdana" w:hAnsi="Verdana"/>
                <w:color w:val="484848"/>
                <w:sz w:val="20"/>
                <w:szCs w:val="20"/>
              </w:rPr>
              <w:t>, which include records containing information supplied by visitors to our application or otherwise voluntarily supplied to Generali by clients or potential clients; and</w:t>
            </w:r>
          </w:p>
          <w:p w:rsidR="009510A2" w:rsidRPr="00F62BC0" w:rsidRDefault="009510A2" w:rsidP="00404513">
            <w:pPr>
              <w:pStyle w:val="a3"/>
              <w:jc w:val="both"/>
              <w:rPr>
                <w:rFonts w:ascii="Verdana" w:hAnsi="Verdana"/>
                <w:sz w:val="20"/>
                <w:szCs w:val="20"/>
              </w:rPr>
            </w:pPr>
            <w:r w:rsidRPr="00F62BC0">
              <w:rPr>
                <w:rFonts w:ascii="Verdana" w:hAnsi="Verdana"/>
                <w:b/>
                <w:bCs/>
                <w:i/>
                <w:iCs/>
                <w:color w:val="484848"/>
                <w:sz w:val="20"/>
                <w:szCs w:val="20"/>
              </w:rPr>
              <w:t>Other records</w:t>
            </w:r>
            <w:r w:rsidRPr="00F62BC0">
              <w:rPr>
                <w:rFonts w:ascii="Verdana" w:hAnsi="Verdana"/>
                <w:color w:val="484848"/>
                <w:sz w:val="20"/>
                <w:szCs w:val="20"/>
              </w:rPr>
              <w:t>, which include administration and operational files and personal data provided to Generali in respect of promotional, operational and administrative activities (including the personal data of service suppliers to Generali).</w:t>
            </w:r>
          </w:p>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Purpose of Holding Your Personal Data</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Generali holds your personal data for the following purposes:</w:t>
            </w:r>
          </w:p>
          <w:p w:rsidR="009510A2" w:rsidRPr="00F62BC0" w:rsidRDefault="009510A2" w:rsidP="00404513">
            <w:pPr>
              <w:pStyle w:val="a3"/>
              <w:jc w:val="both"/>
              <w:rPr>
                <w:rFonts w:ascii="Verdana" w:hAnsi="Verdana"/>
                <w:sz w:val="20"/>
                <w:szCs w:val="20"/>
              </w:rPr>
            </w:pPr>
            <w:r w:rsidRPr="00F62BC0">
              <w:rPr>
                <w:rFonts w:ascii="Verdana" w:hAnsi="Verdana"/>
                <w:b/>
                <w:bCs/>
                <w:i/>
                <w:iCs/>
                <w:color w:val="484848"/>
                <w:sz w:val="20"/>
                <w:szCs w:val="20"/>
              </w:rPr>
              <w:t xml:space="preserve">Customer files and records </w:t>
            </w:r>
            <w:r w:rsidRPr="00F62BC0">
              <w:rPr>
                <w:rFonts w:ascii="Verdana" w:hAnsi="Verdana"/>
                <w:color w:val="484848"/>
                <w:sz w:val="20"/>
                <w:szCs w:val="20"/>
              </w:rPr>
              <w:t>are kept for the purpose of facilitating the provision of our range of insurance services and related activities to our clients; and</w:t>
            </w:r>
          </w:p>
          <w:p w:rsidR="009510A2" w:rsidRPr="00F62BC0" w:rsidRDefault="009510A2" w:rsidP="00404513">
            <w:pPr>
              <w:pStyle w:val="a3"/>
              <w:jc w:val="both"/>
              <w:rPr>
                <w:rFonts w:ascii="Verdana" w:hAnsi="Verdana"/>
                <w:sz w:val="20"/>
                <w:szCs w:val="20"/>
              </w:rPr>
            </w:pPr>
            <w:r w:rsidRPr="00F62BC0">
              <w:rPr>
                <w:rFonts w:ascii="Verdana" w:hAnsi="Verdana"/>
                <w:b/>
                <w:bCs/>
                <w:i/>
                <w:iCs/>
                <w:color w:val="484848"/>
                <w:sz w:val="20"/>
                <w:szCs w:val="20"/>
              </w:rPr>
              <w:t xml:space="preserve">Other records </w:t>
            </w:r>
            <w:r w:rsidRPr="00F62BC0">
              <w:rPr>
                <w:rFonts w:ascii="Verdana" w:hAnsi="Verdana"/>
                <w:color w:val="484848"/>
                <w:sz w:val="20"/>
                <w:szCs w:val="20"/>
              </w:rPr>
              <w:t>are kept for various purposes which vary according to the nature of the record, such as administrati</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 xml:space="preserve"> of office functi</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s and activities, promoti</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al and marketing activities (subject to your prior c</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sent), selecti</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 xml:space="preserve"> of service suppliers, and so forth.</w:t>
            </w:r>
          </w:p>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How We Collect Pers</w:t>
            </w:r>
            <w:smartTag w:uri="urn:schemas-microsoft-com:office:smarttags" w:element="PersonName">
              <w:r w:rsidRPr="00F62BC0">
                <w:rPr>
                  <w:rFonts w:ascii="Verdana" w:hAnsi="Verdana"/>
                  <w:i/>
                  <w:iCs/>
                  <w:color w:val="484848"/>
                  <w:sz w:val="20"/>
                  <w:szCs w:val="20"/>
                  <w:u w:val="single"/>
                </w:rPr>
                <w:t>on</w:t>
              </w:r>
            </w:smartTag>
            <w:r w:rsidRPr="00F62BC0">
              <w:rPr>
                <w:rFonts w:ascii="Verdana" w:hAnsi="Verdana"/>
                <w:i/>
                <w:iCs/>
                <w:color w:val="484848"/>
                <w:sz w:val="20"/>
                <w:szCs w:val="20"/>
                <w:u w:val="single"/>
              </w:rPr>
              <w:t>al Data</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While using this application, collecti</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 xml:space="preserve"> of pers</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al data without a user's express c</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 xml:space="preserve">sent will occur. The services provided </w:t>
            </w:r>
            <w:smartTag w:uri="urn:schemas-microsoft-com:office:smarttags" w:element="PersonName">
              <w:r w:rsidRPr="00F62BC0">
                <w:rPr>
                  <w:rFonts w:ascii="Verdana" w:hAnsi="Verdana"/>
                  <w:color w:val="484848"/>
                  <w:sz w:val="20"/>
                  <w:szCs w:val="20"/>
                </w:rPr>
                <w:t>on</w:t>
              </w:r>
            </w:smartTag>
            <w:r w:rsidRPr="00F62BC0">
              <w:rPr>
                <w:rFonts w:ascii="Verdana" w:hAnsi="Verdana"/>
                <w:color w:val="484848"/>
                <w:sz w:val="20"/>
                <w:szCs w:val="20"/>
              </w:rPr>
              <w:t xml:space="preserve"> this application:</w:t>
            </w:r>
          </w:p>
          <w:tbl>
            <w:tblPr>
              <w:tblW w:w="0" w:type="auto"/>
              <w:tblCellSpacing w:w="0" w:type="dxa"/>
              <w:tblCellMar>
                <w:left w:w="0" w:type="dxa"/>
                <w:right w:w="0" w:type="dxa"/>
              </w:tblCellMar>
              <w:tblLook w:val="0000" w:firstRow="0" w:lastRow="0" w:firstColumn="0" w:lastColumn="0" w:noHBand="0" w:noVBand="0"/>
            </w:tblPr>
            <w:tblGrid>
              <w:gridCol w:w="300"/>
              <w:gridCol w:w="8040"/>
            </w:tblGrid>
            <w:tr w:rsidR="009510A2" w:rsidRPr="00F62BC0" w:rsidTr="00404513">
              <w:trPr>
                <w:tblCellSpacing w:w="0" w:type="dxa"/>
              </w:trPr>
              <w:tc>
                <w:tcPr>
                  <w:tcW w:w="300" w:type="dxa"/>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9510A2">
                  <w:pPr>
                    <w:numPr>
                      <w:ilvl w:val="0"/>
                      <w:numId w:val="1"/>
                    </w:numPr>
                    <w:jc w:val="both"/>
                    <w:rPr>
                      <w:rFonts w:ascii="Verdana" w:hAnsi="Verdana"/>
                      <w:sz w:val="20"/>
                      <w:szCs w:val="20"/>
                    </w:rPr>
                  </w:pPr>
                  <w:r w:rsidRPr="00F62BC0">
                    <w:rPr>
                      <w:rFonts w:ascii="Verdana" w:hAnsi="Verdana"/>
                      <w:color w:val="484848"/>
                      <w:sz w:val="20"/>
                      <w:szCs w:val="20"/>
                    </w:rPr>
                    <w:t>do not use IP address (Internet Protocol Addresses) to collect information. However, IP addresses are stored in navigation information.</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 id="_x0000_i1026"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9510A2">
                  <w:pPr>
                    <w:numPr>
                      <w:ilvl w:val="0"/>
                      <w:numId w:val="1"/>
                    </w:numPr>
                    <w:jc w:val="both"/>
                    <w:rPr>
                      <w:rFonts w:ascii="Verdana" w:hAnsi="Verdana"/>
                      <w:sz w:val="20"/>
                      <w:szCs w:val="20"/>
                    </w:rPr>
                  </w:pPr>
                  <w:r w:rsidRPr="00F62BC0">
                    <w:rPr>
                      <w:rFonts w:ascii="Verdana" w:hAnsi="Verdana"/>
                      <w:color w:val="484848"/>
                      <w:sz w:val="20"/>
                      <w:szCs w:val="20"/>
                    </w:rPr>
                    <w:t>use navigation data as aggregate data for statistical purposes only.</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 id="_x0000_i1027"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9510A2">
                  <w:pPr>
                    <w:numPr>
                      <w:ilvl w:val="0"/>
                      <w:numId w:val="1"/>
                    </w:numPr>
                    <w:jc w:val="both"/>
                    <w:rPr>
                      <w:rFonts w:ascii="Verdana" w:hAnsi="Verdana"/>
                      <w:sz w:val="20"/>
                      <w:szCs w:val="20"/>
                    </w:rPr>
                  </w:pPr>
                  <w:r w:rsidRPr="00F62BC0">
                    <w:rPr>
                      <w:rFonts w:ascii="Verdana" w:hAnsi="Verdana"/>
                      <w:color w:val="484848"/>
                      <w:sz w:val="20"/>
                      <w:szCs w:val="20"/>
                    </w:rPr>
                    <w:t>do not use internet tags.</w:t>
                  </w:r>
                </w:p>
              </w:tc>
            </w:tr>
          </w:tbl>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lastRenderedPageBreak/>
              <w:t>This application applies the following policy to the active collection of personal data:</w:t>
            </w:r>
          </w:p>
          <w:tbl>
            <w:tblPr>
              <w:tblW w:w="0" w:type="auto"/>
              <w:tblCellSpacing w:w="0" w:type="dxa"/>
              <w:tblCellMar>
                <w:left w:w="0" w:type="dxa"/>
                <w:right w:w="0" w:type="dxa"/>
              </w:tblCellMar>
              <w:tblLook w:val="0000" w:firstRow="0" w:lastRow="0" w:firstColumn="0" w:lastColumn="0" w:noHBand="0" w:noVBand="0"/>
            </w:tblPr>
            <w:tblGrid>
              <w:gridCol w:w="300"/>
              <w:gridCol w:w="8040"/>
            </w:tblGrid>
            <w:tr w:rsidR="009510A2" w:rsidRPr="00F62BC0" w:rsidTr="00404513">
              <w:trPr>
                <w:tblCellSpacing w:w="0" w:type="dxa"/>
              </w:trPr>
              <w:tc>
                <w:tcPr>
                  <w:tcW w:w="300" w:type="dxa"/>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 id="_x0000_i1028"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u w:val="single"/>
                    </w:rPr>
                    <w:t>E-Mail</w:t>
                  </w:r>
                  <w:r w:rsidRPr="00F62BC0">
                    <w:rPr>
                      <w:rFonts w:ascii="Verdana" w:hAnsi="Verdana"/>
                      <w:color w:val="484848"/>
                      <w:sz w:val="20"/>
                      <w:szCs w:val="20"/>
                    </w:rPr>
                    <w:t>: Data received by e-mails sent to this application are used to reply to requests in those e-mails and are then stored for statistical purposes.</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 id="_x0000_i1029"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u w:val="single"/>
                    </w:rPr>
                    <w:t>Mailing List</w:t>
                  </w:r>
                  <w:r w:rsidRPr="00F62BC0">
                    <w:rPr>
                      <w:rFonts w:ascii="Verdana" w:hAnsi="Verdana"/>
                      <w:color w:val="484848"/>
                      <w:sz w:val="20"/>
                      <w:szCs w:val="20"/>
                    </w:rPr>
                    <w:t>: Names are included in mailing lists only if the express consent of the recipient has been obtained.</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fldChar w:fldCharType="begin"/>
                  </w:r>
                  <w:r w:rsidRPr="00F62BC0">
                    <w:rPr>
                      <w:rFonts w:ascii="Verdana" w:hAnsi="Verdana"/>
                      <w:color w:val="484848"/>
                      <w:sz w:val="20"/>
                      <w:szCs w:val="20"/>
                    </w:rPr>
                    <w:instrText xml:space="preserve"> INCLUDEPICTURE "https://app1.generali.com.hk/gis/jsp/claims/eclaims/common/image001.gif" \* MERGEFORMATINET </w:instrText>
                  </w:r>
                  <w:r w:rsidRPr="00F62BC0">
                    <w:rPr>
                      <w:rFonts w:ascii="Verdana" w:hAnsi="Verdana"/>
                      <w:color w:val="484848"/>
                      <w:sz w:val="20"/>
                      <w:szCs w:val="20"/>
                    </w:rPr>
                    <w:fldChar w:fldCharType="separate"/>
                  </w:r>
                  <w:r w:rsidRPr="00F62BC0">
                    <w:rPr>
                      <w:rFonts w:ascii="Verdana" w:hAnsi="Verdana"/>
                      <w:color w:val="484848"/>
                      <w:sz w:val="20"/>
                      <w:szCs w:val="20"/>
                    </w:rPr>
                    <w:pict>
                      <v:shape id="_x0000_i1030" type="#_x0000_t75" style="width:4.35pt;height:4.35pt"/>
                    </w:pict>
                  </w:r>
                  <w:r w:rsidRPr="00F62BC0">
                    <w:rPr>
                      <w:rFonts w:ascii="Verdana" w:hAnsi="Verdana"/>
                      <w:color w:val="484848"/>
                      <w:sz w:val="20"/>
                      <w:szCs w:val="20"/>
                    </w:rPr>
                    <w:fldChar w:fldCharType="end"/>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u w:val="single"/>
                    </w:rPr>
                    <w:t>Registration</w:t>
                  </w:r>
                  <w:r w:rsidRPr="00F62BC0">
                    <w:rPr>
                      <w:rFonts w:ascii="Verdana" w:hAnsi="Verdana"/>
                      <w:color w:val="484848"/>
                      <w:sz w:val="20"/>
                      <w:szCs w:val="20"/>
                    </w:rPr>
                    <w:t>: Data received upon completion of on-line forms are used to reply to requests for services set out in those on-line forms.</w:t>
                  </w:r>
                </w:p>
              </w:tc>
            </w:tr>
          </w:tbl>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Personal data is also collected by Generali when it receives forms, applications, correspondence and other documents from its clients and other individuals.</w:t>
            </w:r>
          </w:p>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How We Use Your Pers</w:t>
            </w:r>
            <w:smartTag w:uri="urn:schemas-microsoft-com:office:smarttags" w:element="PersonName">
              <w:r w:rsidRPr="00F62BC0">
                <w:rPr>
                  <w:rFonts w:ascii="Verdana" w:hAnsi="Verdana"/>
                  <w:i/>
                  <w:iCs/>
                  <w:color w:val="484848"/>
                  <w:sz w:val="20"/>
                  <w:szCs w:val="20"/>
                  <w:u w:val="single"/>
                </w:rPr>
                <w:t>on</w:t>
              </w:r>
            </w:smartTag>
            <w:r w:rsidRPr="00F62BC0">
              <w:rPr>
                <w:rFonts w:ascii="Verdana" w:hAnsi="Verdana"/>
                <w:i/>
                <w:iCs/>
                <w:color w:val="484848"/>
                <w:sz w:val="20"/>
                <w:szCs w:val="20"/>
                <w:u w:val="single"/>
              </w:rPr>
              <w:t>al Data</w:t>
            </w:r>
          </w:p>
          <w:tbl>
            <w:tblPr>
              <w:tblW w:w="0" w:type="auto"/>
              <w:tblCellSpacing w:w="0" w:type="dxa"/>
              <w:tblCellMar>
                <w:left w:w="0" w:type="dxa"/>
                <w:right w:w="0" w:type="dxa"/>
              </w:tblCellMar>
              <w:tblLook w:val="0000" w:firstRow="0" w:lastRow="0" w:firstColumn="0" w:lastColumn="0" w:noHBand="0" w:noVBand="0"/>
            </w:tblPr>
            <w:tblGrid>
              <w:gridCol w:w="300"/>
              <w:gridCol w:w="8040"/>
            </w:tblGrid>
            <w:tr w:rsidR="009510A2" w:rsidRPr="00F62BC0" w:rsidTr="00404513">
              <w:trPr>
                <w:tblCellSpacing w:w="0" w:type="dxa"/>
              </w:trPr>
              <w:tc>
                <w:tcPr>
                  <w:tcW w:w="300" w:type="dxa"/>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1.</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provide you with information about our insurance services and related activities, including providing you with quotations for insurance coverage;</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2.</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liaise with any company, firm or other business entity carrying on insurance or reinsurance related business or an intermediary or a claims or investigation or other service provider providing services relevant to insurance business for any of the above or related purposes (including loss adjusters, agents, reinsurance companies, coinsurers, emergency assistance providers; lawyers, financial advisers, other professionals; associations, federations or similar organisations of insurance companies and their members), in connection with insurance services provided to you;</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3.</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verify your identity;</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4.</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confirm payment details with banks or credit card companies;</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5.</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send you, upon your prior consent, information about other services provided by the Assicurazioni Generali group;</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6.</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liaise with government and regulatory authorities as required by law;</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7.</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protect and defend the rights of Generali or other third parties, or to enforce the terms and conditions that apply to use of this site; and</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8.</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conduct other activities of Generali required or permitted by law.</w:t>
                  </w:r>
                </w:p>
              </w:tc>
            </w:tr>
          </w:tbl>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Who Can We Disclose Your Pers</w:t>
            </w:r>
            <w:smartTag w:uri="urn:schemas-microsoft-com:office:smarttags" w:element="PersonName">
              <w:r w:rsidRPr="00F62BC0">
                <w:rPr>
                  <w:rFonts w:ascii="Verdana" w:hAnsi="Verdana"/>
                  <w:i/>
                  <w:iCs/>
                  <w:color w:val="484848"/>
                  <w:sz w:val="20"/>
                  <w:szCs w:val="20"/>
                  <w:u w:val="single"/>
                </w:rPr>
                <w:t>on</w:t>
              </w:r>
            </w:smartTag>
            <w:r w:rsidRPr="00F62BC0">
              <w:rPr>
                <w:rFonts w:ascii="Verdana" w:hAnsi="Verdana"/>
                <w:i/>
                <w:iCs/>
                <w:color w:val="484848"/>
                <w:sz w:val="20"/>
                <w:szCs w:val="20"/>
                <w:u w:val="single"/>
              </w:rPr>
              <w:t>al Data To</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Generali may use your personal data to:</w:t>
            </w:r>
          </w:p>
          <w:tbl>
            <w:tblPr>
              <w:tblW w:w="0" w:type="auto"/>
              <w:tblCellSpacing w:w="0" w:type="dxa"/>
              <w:tblCellMar>
                <w:left w:w="0" w:type="dxa"/>
                <w:right w:w="0" w:type="dxa"/>
              </w:tblCellMar>
              <w:tblLook w:val="0000" w:firstRow="0" w:lastRow="0" w:firstColumn="0" w:lastColumn="0" w:noHBand="0" w:noVBand="0"/>
            </w:tblPr>
            <w:tblGrid>
              <w:gridCol w:w="300"/>
              <w:gridCol w:w="8040"/>
            </w:tblGrid>
            <w:tr w:rsidR="009510A2" w:rsidRPr="00F62BC0" w:rsidTr="00404513">
              <w:trPr>
                <w:tblCellSpacing w:w="0" w:type="dxa"/>
              </w:trPr>
              <w:tc>
                <w:tcPr>
                  <w:tcW w:w="300" w:type="dxa"/>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1.</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other companies in the Assicurazioni Generali group;</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2.</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any company, firm or other business entity carrying on insurance or reinsurance related business or an intermediary or a claims or investigation or other service provider providing services relevant to insurance business for any of the above or related purposes (including loss adjusters, agents, reinsurance companies, coinsurers, emergency assistance providers; lawyers, financial advisers, other professionals; associations, federations or similar organisations of insurance companies and their members);</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3.</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service providers to Generali in connection with the maintenance and operation of this application;</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4.</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government and regulatory authorities as required by law; and</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lastRenderedPageBreak/>
                    <w:t>5.</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other persons who are under a duty of confidentiality to Generali, or to lawful successors and assigns of Generali.</w:t>
                  </w:r>
                </w:p>
              </w:tc>
            </w:tr>
          </w:tbl>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Access to Your Personal Data</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You have a right to:</w:t>
            </w:r>
          </w:p>
          <w:tbl>
            <w:tblPr>
              <w:tblW w:w="0" w:type="auto"/>
              <w:tblCellSpacing w:w="0" w:type="dxa"/>
              <w:tblCellMar>
                <w:left w:w="0" w:type="dxa"/>
                <w:right w:w="0" w:type="dxa"/>
              </w:tblCellMar>
              <w:tblLook w:val="0000" w:firstRow="0" w:lastRow="0" w:firstColumn="0" w:lastColumn="0" w:noHBand="0" w:noVBand="0"/>
            </w:tblPr>
            <w:tblGrid>
              <w:gridCol w:w="300"/>
              <w:gridCol w:w="8040"/>
            </w:tblGrid>
            <w:tr w:rsidR="009510A2" w:rsidRPr="00F62BC0" w:rsidTr="00404513">
              <w:trPr>
                <w:tblCellSpacing w:w="0" w:type="dxa"/>
              </w:trPr>
              <w:tc>
                <w:tcPr>
                  <w:tcW w:w="300" w:type="dxa"/>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1.</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request access to your personal data;</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2.</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correct any errors in your personal data;</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3.</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upon payment of a reasonable fee, obtain a copy of your personal data; and</w:t>
                  </w:r>
                </w:p>
              </w:tc>
            </w:tr>
            <w:tr w:rsidR="009510A2" w:rsidRPr="00F62BC0" w:rsidTr="00404513">
              <w:trPr>
                <w:tblCellSpacing w:w="0" w:type="dxa"/>
              </w:trPr>
              <w:tc>
                <w:tcPr>
                  <w:tcW w:w="0" w:type="auto"/>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4.</w:t>
                  </w:r>
                </w:p>
              </w:tc>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upon written request, withdraw your consent to the use by Generali of your personal data. However, if you withdraw your consent, then Generali may not be able to provide insurance services and related activities to you or to contact you.</w:t>
                  </w:r>
                </w:p>
              </w:tc>
            </w:tr>
          </w:tbl>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Personal Data Protection Officer</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If you have queries concerning your personal data (including requesting access to, or correcting the details of, your personal data), you should contact:</w:t>
            </w:r>
          </w:p>
          <w:tbl>
            <w:tblPr>
              <w:tblW w:w="0" w:type="auto"/>
              <w:tblCellSpacing w:w="0" w:type="dxa"/>
              <w:tblCellMar>
                <w:left w:w="0" w:type="dxa"/>
                <w:right w:w="0" w:type="dxa"/>
              </w:tblCellMar>
              <w:tblLook w:val="0000" w:firstRow="0" w:lastRow="0" w:firstColumn="0" w:lastColumn="0" w:noHBand="0" w:noVBand="0"/>
            </w:tblPr>
            <w:tblGrid>
              <w:gridCol w:w="4985"/>
            </w:tblGrid>
            <w:tr w:rsidR="009510A2" w:rsidRPr="00F62BC0" w:rsidTr="00404513">
              <w:trPr>
                <w:tblCellSpacing w:w="0" w:type="dxa"/>
              </w:trPr>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The Personal Data Protection Officer</w:t>
                  </w:r>
                </w:p>
              </w:tc>
            </w:tr>
            <w:tr w:rsidR="009510A2" w:rsidRPr="00F62BC0" w:rsidTr="00404513">
              <w:trPr>
                <w:tblCellSpacing w:w="0" w:type="dxa"/>
              </w:trPr>
              <w:tc>
                <w:tcPr>
                  <w:tcW w:w="0" w:type="auto"/>
                  <w:vAlign w:val="center"/>
                </w:tcPr>
                <w:p w:rsidR="009510A2" w:rsidRPr="00F62BC0" w:rsidRDefault="009510A2" w:rsidP="00404513">
                  <w:pPr>
                    <w:jc w:val="both"/>
                    <w:rPr>
                      <w:rFonts w:ascii="Verdana" w:hAnsi="Verdana"/>
                      <w:sz w:val="20"/>
                      <w:szCs w:val="20"/>
                      <w:lang w:val="it-IT"/>
                    </w:rPr>
                  </w:pPr>
                  <w:r w:rsidRPr="00F62BC0">
                    <w:rPr>
                      <w:rFonts w:ascii="Verdana" w:hAnsi="Verdana"/>
                      <w:color w:val="484848"/>
                      <w:sz w:val="20"/>
                      <w:szCs w:val="20"/>
                      <w:lang w:val="it-IT"/>
                    </w:rPr>
                    <w:t>Assicurazioni Generali S.p.A. - Hong Kong branch</w:t>
                  </w:r>
                </w:p>
              </w:tc>
            </w:tr>
            <w:tr w:rsidR="009510A2" w:rsidRPr="00F62BC0" w:rsidTr="00404513">
              <w:trPr>
                <w:tblCellSpacing w:w="0" w:type="dxa"/>
              </w:trPr>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5/F, Generali Tower</w:t>
                  </w:r>
                </w:p>
              </w:tc>
            </w:tr>
            <w:tr w:rsidR="009510A2" w:rsidRPr="00F62BC0" w:rsidTr="00404513">
              <w:trPr>
                <w:tblCellSpacing w:w="0" w:type="dxa"/>
              </w:trPr>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8 Queen's Road East</w:t>
                  </w:r>
                </w:p>
              </w:tc>
            </w:tr>
            <w:tr w:rsidR="009510A2" w:rsidRPr="00F62BC0" w:rsidTr="00404513">
              <w:trPr>
                <w:tblCellSpacing w:w="0" w:type="dxa"/>
              </w:trPr>
              <w:tc>
                <w:tcPr>
                  <w:tcW w:w="0" w:type="auto"/>
                  <w:vAlign w:val="center"/>
                </w:tcPr>
                <w:p w:rsidR="009510A2" w:rsidRPr="00F62BC0" w:rsidRDefault="009510A2" w:rsidP="00404513">
                  <w:pPr>
                    <w:jc w:val="both"/>
                    <w:rPr>
                      <w:rFonts w:ascii="Verdana" w:hAnsi="Verdana"/>
                      <w:sz w:val="20"/>
                      <w:szCs w:val="20"/>
                    </w:rPr>
                  </w:pPr>
                  <w:r w:rsidRPr="00F62BC0">
                    <w:rPr>
                      <w:rFonts w:ascii="Verdana" w:hAnsi="Verdana"/>
                      <w:color w:val="484848"/>
                      <w:sz w:val="20"/>
                      <w:szCs w:val="20"/>
                    </w:rPr>
                    <w:t>Hong Kong</w:t>
                  </w:r>
                </w:p>
              </w:tc>
            </w:tr>
          </w:tbl>
          <w:p w:rsidR="009510A2" w:rsidRPr="00F62BC0" w:rsidRDefault="009510A2" w:rsidP="00404513">
            <w:pPr>
              <w:pStyle w:val="a3"/>
              <w:jc w:val="both"/>
              <w:rPr>
                <w:rFonts w:ascii="Verdana" w:hAnsi="Verdana"/>
                <w:sz w:val="20"/>
                <w:szCs w:val="20"/>
              </w:rPr>
            </w:pPr>
            <w:r w:rsidRPr="00F62BC0">
              <w:rPr>
                <w:rFonts w:ascii="Verdana" w:hAnsi="Verdana"/>
                <w:i/>
                <w:iCs/>
                <w:color w:val="484848"/>
                <w:sz w:val="20"/>
                <w:szCs w:val="20"/>
                <w:u w:val="single"/>
              </w:rPr>
              <w:t>Miscellaneous</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Details of the group policy of the Assicurazioni Generali group may be found at www.generali.com.</w:t>
            </w:r>
          </w:p>
          <w:p w:rsidR="009510A2" w:rsidRPr="00F62BC0" w:rsidRDefault="009510A2" w:rsidP="00404513">
            <w:pPr>
              <w:pStyle w:val="a3"/>
              <w:jc w:val="both"/>
              <w:rPr>
                <w:rFonts w:ascii="Verdana" w:hAnsi="Verdana"/>
                <w:sz w:val="20"/>
                <w:szCs w:val="20"/>
              </w:rPr>
            </w:pPr>
            <w:r w:rsidRPr="00F62BC0">
              <w:rPr>
                <w:rFonts w:ascii="Verdana" w:hAnsi="Verdana"/>
                <w:color w:val="484848"/>
                <w:sz w:val="20"/>
                <w:szCs w:val="20"/>
              </w:rPr>
              <w:t>This Statement is an integral part of the Terms of Use of this application, and in using this application, you are deemed to have accepted its terms.</w:t>
            </w:r>
          </w:p>
        </w:tc>
      </w:tr>
    </w:tbl>
    <w:p w:rsidR="009510A2" w:rsidRPr="00F62BC0" w:rsidRDefault="009510A2" w:rsidP="009510A2">
      <w:pPr>
        <w:jc w:val="both"/>
        <w:rPr>
          <w:rFonts w:ascii="Verdana" w:hAnsi="Verdana"/>
          <w:sz w:val="20"/>
          <w:szCs w:val="20"/>
        </w:rPr>
      </w:pPr>
    </w:p>
    <w:p w:rsidR="000F3F38" w:rsidRPr="009510A2" w:rsidRDefault="000F3F38">
      <w:bookmarkStart w:id="0" w:name="_GoBack"/>
      <w:bookmarkEnd w:id="0"/>
    </w:p>
    <w:sectPr w:rsidR="000F3F38" w:rsidRPr="009510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C2851"/>
    <w:multiLevelType w:val="hybridMultilevel"/>
    <w:tmpl w:val="D706B36E"/>
    <w:lvl w:ilvl="0" w:tplc="2452AB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A2"/>
    <w:rsid w:val="000F3F38"/>
    <w:rsid w:val="00417A25"/>
    <w:rsid w:val="009510A2"/>
    <w:rsid w:val="00952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4D2BFF3-154A-4350-BA1B-0CDD1E7B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0A2"/>
    <w:rPr>
      <w:rFonts w:ascii="Times New Roman" w:eastAsia="PMingLiU" w:hAnsi="Times New Roman" w:cs="Times New Roman"/>
      <w:kern w:val="0"/>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510A2"/>
    <w:pPr>
      <w:spacing w:before="100" w:beforeAutospacing="1" w:after="100" w:afterAutospacing="1"/>
    </w:pPr>
  </w:style>
  <w:style w:type="character" w:styleId="a4">
    <w:name w:val="Strong"/>
    <w:qFormat/>
    <w:rsid w:val="00951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975</Words>
  <Characters>5563</Characters>
  <Application>Microsoft Office Word</Application>
  <DocSecurity>0</DocSecurity>
  <Lines>46</Lines>
  <Paragraphs>13</Paragraphs>
  <ScaleCrop>false</ScaleCrop>
  <Company>Microsoft</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yeyu zhou</dc:creator>
  <cp:keywords/>
  <dc:description/>
  <cp:lastModifiedBy>yeyu zhou</cp:lastModifiedBy>
  <cp:revision>1</cp:revision>
  <dcterms:created xsi:type="dcterms:W3CDTF">2017-09-25T03:02:00Z</dcterms:created>
  <dcterms:modified xsi:type="dcterms:W3CDTF">2017-09-25T03:03:00Z</dcterms:modified>
</cp:coreProperties>
</file>