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EEFE" w14:textId="184ACF2D" w:rsidR="000F4976" w:rsidRPr="006D3953" w:rsidRDefault="006B137B" w:rsidP="00733F21">
      <w:pPr>
        <w:rPr>
          <w:rFonts w:cstheme="minorHAnsi"/>
          <w:b/>
          <w:sz w:val="24"/>
          <w:szCs w:val="24"/>
        </w:rPr>
      </w:pPr>
      <w:r w:rsidRPr="006D3953">
        <w:rPr>
          <w:rFonts w:cstheme="minorHAnsi"/>
          <w:b/>
          <w:sz w:val="24"/>
          <w:szCs w:val="24"/>
        </w:rPr>
        <w:t xml:space="preserve">Data Request </w:t>
      </w:r>
      <w:r w:rsidR="000F4976" w:rsidRPr="006D3953">
        <w:rPr>
          <w:rFonts w:cstheme="minorHAnsi"/>
          <w:b/>
          <w:sz w:val="24"/>
          <w:szCs w:val="24"/>
        </w:rPr>
        <w:t xml:space="preserve">Policy </w:t>
      </w:r>
    </w:p>
    <w:p w14:paraId="34B94A29" w14:textId="1B918919" w:rsidR="006329D8" w:rsidRPr="00AD1582" w:rsidRDefault="006329D8" w:rsidP="000F4976">
      <w:pPr>
        <w:rPr>
          <w:rFonts w:cstheme="minorHAnsi"/>
        </w:rPr>
      </w:pPr>
      <w:r w:rsidRPr="00AD1582">
        <w:rPr>
          <w:rFonts w:cstheme="minorHAnsi"/>
        </w:rPr>
        <w:t xml:space="preserve">To apply for </w:t>
      </w:r>
      <w:r w:rsidR="006B137B">
        <w:rPr>
          <w:rFonts w:cstheme="minorHAnsi"/>
        </w:rPr>
        <w:t>AlcHepNet data</w:t>
      </w:r>
      <w:r w:rsidRPr="00AD1582">
        <w:rPr>
          <w:rFonts w:cstheme="minorHAnsi"/>
        </w:rPr>
        <w:t>, the investigator must meet the following criteria:</w:t>
      </w:r>
    </w:p>
    <w:p w14:paraId="435ED019" w14:textId="77777777" w:rsidR="006329D8" w:rsidRPr="00AD1582" w:rsidRDefault="006329D8" w:rsidP="000F4976">
      <w:pPr>
        <w:pStyle w:val="ListParagraph"/>
        <w:numPr>
          <w:ilvl w:val="0"/>
          <w:numId w:val="2"/>
        </w:numPr>
        <w:ind w:left="360"/>
        <w:rPr>
          <w:rFonts w:cstheme="minorHAnsi"/>
        </w:rPr>
      </w:pPr>
      <w:r w:rsidRPr="00AD1582">
        <w:rPr>
          <w:rFonts w:cstheme="minorHAnsi"/>
        </w:rPr>
        <w:t>Funding should be available</w:t>
      </w:r>
    </w:p>
    <w:p w14:paraId="27623AAE" w14:textId="24564C64" w:rsidR="006329D8" w:rsidRPr="00AD1582" w:rsidRDefault="004A674E" w:rsidP="000F4976">
      <w:pPr>
        <w:pStyle w:val="ListParagraph"/>
        <w:numPr>
          <w:ilvl w:val="0"/>
          <w:numId w:val="2"/>
        </w:numPr>
        <w:ind w:left="360"/>
        <w:rPr>
          <w:rFonts w:cstheme="minorHAnsi"/>
        </w:rPr>
      </w:pPr>
      <w:r w:rsidRPr="00AD1582">
        <w:rPr>
          <w:rFonts w:cstheme="minorHAnsi"/>
        </w:rPr>
        <w:t xml:space="preserve">Any AlcHepNet Steering </w:t>
      </w:r>
      <w:r w:rsidR="00FF00BF">
        <w:rPr>
          <w:rFonts w:cstheme="minorHAnsi"/>
        </w:rPr>
        <w:t xml:space="preserve">Committee </w:t>
      </w:r>
      <w:r w:rsidRPr="00AD1582">
        <w:rPr>
          <w:rFonts w:cstheme="minorHAnsi"/>
        </w:rPr>
        <w:t>Principal Investigator (SC PIs)</w:t>
      </w:r>
      <w:r w:rsidR="006329D8" w:rsidRPr="00AD1582">
        <w:rPr>
          <w:rFonts w:cstheme="minorHAnsi"/>
        </w:rPr>
        <w:t xml:space="preserve"> is eligible to apply</w:t>
      </w:r>
    </w:p>
    <w:p w14:paraId="3CD93BAC" w14:textId="4201E589" w:rsidR="009C7051" w:rsidRPr="009C7051" w:rsidRDefault="006329D8" w:rsidP="009C7051">
      <w:pPr>
        <w:pStyle w:val="ListParagraph"/>
        <w:numPr>
          <w:ilvl w:val="0"/>
          <w:numId w:val="2"/>
        </w:numPr>
        <w:ind w:left="360"/>
        <w:rPr>
          <w:rFonts w:cstheme="minorHAnsi"/>
        </w:rPr>
      </w:pPr>
      <w:r w:rsidRPr="00AD1582">
        <w:rPr>
          <w:rFonts w:cstheme="minorHAnsi"/>
        </w:rPr>
        <w:t xml:space="preserve">Non- AlcHepNet affiliates can apply </w:t>
      </w:r>
      <w:r w:rsidR="004A674E" w:rsidRPr="00AD1582">
        <w:rPr>
          <w:rFonts w:cstheme="minorHAnsi"/>
        </w:rPr>
        <w:t>accompanied by the SC PI as their sponsor</w:t>
      </w:r>
    </w:p>
    <w:p w14:paraId="2FC1B700" w14:textId="714C7B9C" w:rsidR="006B137B" w:rsidRDefault="006B137B" w:rsidP="000F4976">
      <w:pPr>
        <w:pStyle w:val="ListParagraph"/>
        <w:numPr>
          <w:ilvl w:val="0"/>
          <w:numId w:val="2"/>
        </w:numPr>
        <w:ind w:left="360"/>
        <w:rPr>
          <w:rFonts w:cstheme="minorHAnsi"/>
          <w:b/>
          <w:bCs/>
        </w:rPr>
      </w:pPr>
      <w:r w:rsidRPr="006B137B">
        <w:rPr>
          <w:rFonts w:cstheme="minorHAnsi"/>
          <w:b/>
          <w:bCs/>
        </w:rPr>
        <w:t>Must have prior approval from the AlcHepNet publications and ancillary study committee</w:t>
      </w:r>
      <w:r w:rsidR="009C7051">
        <w:rPr>
          <w:rFonts w:cstheme="minorHAnsi"/>
          <w:b/>
          <w:bCs/>
        </w:rPr>
        <w:t xml:space="preserve"> (PAC)</w:t>
      </w:r>
    </w:p>
    <w:p w14:paraId="7EAE428C" w14:textId="782F3320" w:rsidR="009C7051" w:rsidRPr="009C7051" w:rsidRDefault="009C7051" w:rsidP="000F4976">
      <w:pPr>
        <w:pStyle w:val="ListParagraph"/>
        <w:numPr>
          <w:ilvl w:val="0"/>
          <w:numId w:val="2"/>
        </w:numPr>
        <w:ind w:left="360"/>
        <w:rPr>
          <w:rFonts w:cstheme="minorHAnsi"/>
        </w:rPr>
      </w:pPr>
      <w:r>
        <w:rPr>
          <w:rFonts w:cstheme="minorHAnsi"/>
        </w:rPr>
        <w:t xml:space="preserve">IU </w:t>
      </w:r>
      <w:r w:rsidRPr="009C7051">
        <w:rPr>
          <w:rFonts w:cstheme="minorHAnsi"/>
        </w:rPr>
        <w:t xml:space="preserve">DCC will only offer data </w:t>
      </w:r>
      <w:r w:rsidR="001D4A87">
        <w:rPr>
          <w:rFonts w:cstheme="minorHAnsi"/>
        </w:rPr>
        <w:t>with</w:t>
      </w:r>
      <w:r w:rsidRPr="009C7051">
        <w:rPr>
          <w:rFonts w:cstheme="minorHAnsi"/>
        </w:rPr>
        <w:t xml:space="preserve">in the scope </w:t>
      </w:r>
      <w:r w:rsidR="001D4A87">
        <w:rPr>
          <w:rFonts w:cstheme="minorHAnsi"/>
        </w:rPr>
        <w:t xml:space="preserve">of </w:t>
      </w:r>
      <w:r w:rsidR="00FF00BF">
        <w:rPr>
          <w:rFonts w:cstheme="minorHAnsi"/>
        </w:rPr>
        <w:t xml:space="preserve">SC </w:t>
      </w:r>
      <w:r w:rsidR="000B56EF">
        <w:rPr>
          <w:rFonts w:cstheme="minorHAnsi"/>
        </w:rPr>
        <w:t xml:space="preserve">PI’s </w:t>
      </w:r>
      <w:r w:rsidRPr="009C7051">
        <w:rPr>
          <w:rFonts w:cstheme="minorHAnsi"/>
        </w:rPr>
        <w:t xml:space="preserve">proposal. </w:t>
      </w:r>
      <w:r w:rsidR="001D4A87">
        <w:rPr>
          <w:rFonts w:cstheme="minorHAnsi"/>
        </w:rPr>
        <w:t>A</w:t>
      </w:r>
      <w:r w:rsidRPr="009C7051">
        <w:rPr>
          <w:rFonts w:cstheme="minorHAnsi"/>
        </w:rPr>
        <w:t xml:space="preserve">dditional data </w:t>
      </w:r>
      <w:r w:rsidR="001D4A87">
        <w:rPr>
          <w:rFonts w:cstheme="minorHAnsi"/>
        </w:rPr>
        <w:t xml:space="preserve">requests </w:t>
      </w:r>
      <w:r w:rsidRPr="009C7051">
        <w:rPr>
          <w:rFonts w:cstheme="minorHAnsi"/>
        </w:rPr>
        <w:t xml:space="preserve">will </w:t>
      </w:r>
      <w:r w:rsidR="001D4A87">
        <w:rPr>
          <w:rFonts w:cstheme="minorHAnsi"/>
        </w:rPr>
        <w:t xml:space="preserve">be reviewed by </w:t>
      </w:r>
      <w:r w:rsidRPr="009C7051">
        <w:rPr>
          <w:rFonts w:cstheme="minorHAnsi"/>
        </w:rPr>
        <w:t>PAC for amended approval</w:t>
      </w:r>
      <w:r w:rsidR="00126E8E">
        <w:rPr>
          <w:rFonts w:cstheme="minorHAnsi"/>
        </w:rPr>
        <w:t>. If original data (</w:t>
      </w:r>
      <w:proofErr w:type="spellStart"/>
      <w:r w:rsidR="00126E8E">
        <w:rPr>
          <w:rFonts w:cstheme="minorHAnsi"/>
        </w:rPr>
        <w:t>e.g</w:t>
      </w:r>
      <w:proofErr w:type="spellEnd"/>
      <w:r w:rsidR="00126E8E">
        <w:rPr>
          <w:rFonts w:cstheme="minorHAnsi"/>
        </w:rPr>
        <w:t xml:space="preserve">, omics or genotyping, or cytokines) are generated on AHN samples at the investigator’s site, those data must be first deposited with the DCC prior to DCC transferring the associated phenotyping data to the investigator.   The investigator agrees not to share the phenotype data to a third party without written approval from the AHN DCC or Publications/Ancillary Studies or Steering Committees.  </w:t>
      </w:r>
    </w:p>
    <w:p w14:paraId="578FB86B" w14:textId="0BA0BBF1" w:rsidR="000B56EF" w:rsidRDefault="009C7051" w:rsidP="000F4976">
      <w:pPr>
        <w:pStyle w:val="ListParagraph"/>
        <w:numPr>
          <w:ilvl w:val="0"/>
          <w:numId w:val="2"/>
        </w:numPr>
        <w:ind w:left="360"/>
        <w:rPr>
          <w:rFonts w:cstheme="minorHAnsi"/>
        </w:rPr>
      </w:pPr>
      <w:r>
        <w:rPr>
          <w:rFonts w:cstheme="minorHAnsi"/>
        </w:rPr>
        <w:t xml:space="preserve">If using genomic data, </w:t>
      </w:r>
      <w:r w:rsidR="00FF00BF">
        <w:rPr>
          <w:rFonts w:cstheme="minorHAnsi"/>
        </w:rPr>
        <w:t xml:space="preserve">SC </w:t>
      </w:r>
      <w:r>
        <w:rPr>
          <w:rFonts w:cstheme="minorHAnsi"/>
        </w:rPr>
        <w:t xml:space="preserve">PI must follow NIH’s genomic data sharing policy and procedures. </w:t>
      </w:r>
      <w:r w:rsidR="000B56EF">
        <w:rPr>
          <w:rFonts w:cstheme="minorHAnsi"/>
        </w:rPr>
        <w:t xml:space="preserve">If not, please skip </w:t>
      </w:r>
    </w:p>
    <w:p w14:paraId="5052E35D" w14:textId="1CC1F2E3" w:rsidR="009C7051" w:rsidRDefault="009C7051" w:rsidP="000B56EF">
      <w:pPr>
        <w:pStyle w:val="ListParagraph"/>
        <w:numPr>
          <w:ilvl w:val="1"/>
          <w:numId w:val="2"/>
        </w:numPr>
        <w:rPr>
          <w:rFonts w:cstheme="minorHAnsi"/>
        </w:rPr>
      </w:pPr>
      <w:r w:rsidRPr="000B56EF">
        <w:rPr>
          <w:rFonts w:cstheme="minorHAnsi"/>
          <w:b/>
          <w:bCs/>
        </w:rPr>
        <w:t>Please reference policies at the following link</w:t>
      </w:r>
      <w:r w:rsidR="00525251" w:rsidRPr="000B56EF">
        <w:rPr>
          <w:rFonts w:cstheme="minorHAnsi"/>
          <w:b/>
          <w:bCs/>
        </w:rPr>
        <w:t>, agree to the following, and sign below</w:t>
      </w:r>
      <w:r w:rsidRPr="000B56EF">
        <w:rPr>
          <w:rFonts w:cstheme="minorHAnsi"/>
          <w:b/>
          <w:bCs/>
        </w:rPr>
        <w:t xml:space="preserve">: </w:t>
      </w:r>
      <w:hyperlink r:id="rId8" w:history="1">
        <w:r w:rsidRPr="004828A0">
          <w:rPr>
            <w:rStyle w:val="Hyperlink"/>
            <w:rFonts w:cstheme="minorHAnsi"/>
          </w:rPr>
          <w:t>https://grants.nih.gov/grants/guide/notice-files/not-od-14-124.html</w:t>
        </w:r>
      </w:hyperlink>
      <w:r>
        <w:rPr>
          <w:rFonts w:cstheme="minorHAnsi"/>
        </w:rPr>
        <w:t xml:space="preserve"> </w:t>
      </w:r>
    </w:p>
    <w:p w14:paraId="5F6935F8" w14:textId="4EC81CA4"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Using the data only for the approved </w:t>
      </w:r>
      <w:r w:rsidR="000B56EF" w:rsidRPr="00525251">
        <w:rPr>
          <w:rFonts w:cstheme="minorHAnsi"/>
          <w:sz w:val="18"/>
          <w:szCs w:val="18"/>
        </w:rPr>
        <w:t>research.</w:t>
      </w:r>
    </w:p>
    <w:p w14:paraId="62485C9C" w14:textId="2CE3B99F"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Protecting data </w:t>
      </w:r>
      <w:r w:rsidR="000B56EF" w:rsidRPr="00525251">
        <w:rPr>
          <w:rFonts w:cstheme="minorHAnsi"/>
          <w:sz w:val="18"/>
          <w:szCs w:val="18"/>
        </w:rPr>
        <w:t>confidentiality.</w:t>
      </w:r>
    </w:p>
    <w:p w14:paraId="0D15ADA2" w14:textId="1D0A967D"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Following, as appropriate, all applicable national, tribal, and state laws and regulations, as well as relevant institutional policies and procedures for handling genomic </w:t>
      </w:r>
      <w:r w:rsidR="000B56EF" w:rsidRPr="00525251">
        <w:rPr>
          <w:rFonts w:cstheme="minorHAnsi"/>
          <w:sz w:val="18"/>
          <w:szCs w:val="18"/>
        </w:rPr>
        <w:t>data.</w:t>
      </w:r>
    </w:p>
    <w:p w14:paraId="13B2D4FB" w14:textId="7A4B8B38"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Not attempting to identify individual participants from whom the data were </w:t>
      </w:r>
      <w:r w:rsidR="000B56EF" w:rsidRPr="00525251">
        <w:rPr>
          <w:rFonts w:cstheme="minorHAnsi"/>
          <w:sz w:val="18"/>
          <w:szCs w:val="18"/>
        </w:rPr>
        <w:t>obtained.</w:t>
      </w:r>
    </w:p>
    <w:p w14:paraId="4EA14C57" w14:textId="4E423D39"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Not selling any of the data obtained from NIH-designated data </w:t>
      </w:r>
      <w:r w:rsidR="000B56EF" w:rsidRPr="00525251">
        <w:rPr>
          <w:rFonts w:cstheme="minorHAnsi"/>
          <w:sz w:val="18"/>
          <w:szCs w:val="18"/>
        </w:rPr>
        <w:t>repositories.</w:t>
      </w:r>
    </w:p>
    <w:p w14:paraId="1CFA976D" w14:textId="359EBC55"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Not sharing any of the data obtained from controlled-access NIH-designated data repositories with individuals other than those listed in the data access </w:t>
      </w:r>
      <w:r w:rsidR="000B56EF" w:rsidRPr="00525251">
        <w:rPr>
          <w:rFonts w:cstheme="minorHAnsi"/>
          <w:sz w:val="18"/>
          <w:szCs w:val="18"/>
        </w:rPr>
        <w:t>request.</w:t>
      </w:r>
    </w:p>
    <w:p w14:paraId="548FE0B3" w14:textId="0EF8EA0C"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Agreeing to the listing of a summary of approved research uses in </w:t>
      </w:r>
      <w:proofErr w:type="spellStart"/>
      <w:r w:rsidRPr="00525251">
        <w:rPr>
          <w:rFonts w:cstheme="minorHAnsi"/>
          <w:sz w:val="18"/>
          <w:szCs w:val="18"/>
        </w:rPr>
        <w:t>dbGaP</w:t>
      </w:r>
      <w:proofErr w:type="spellEnd"/>
      <w:r w:rsidRPr="00525251">
        <w:rPr>
          <w:rFonts w:cstheme="minorHAnsi"/>
          <w:sz w:val="18"/>
          <w:szCs w:val="18"/>
        </w:rPr>
        <w:t xml:space="preserve"> along with the investigator’s name and organizational </w:t>
      </w:r>
      <w:r w:rsidR="000B56EF" w:rsidRPr="00525251">
        <w:rPr>
          <w:rFonts w:cstheme="minorHAnsi"/>
          <w:sz w:val="18"/>
          <w:szCs w:val="18"/>
        </w:rPr>
        <w:t>affiliation.</w:t>
      </w:r>
    </w:p>
    <w:p w14:paraId="2EAC2465" w14:textId="769562B8"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Agreeing to report any violation of the GDS Policy to the appropriate DAC(s) as soon as it is </w:t>
      </w:r>
      <w:r w:rsidR="000B56EF" w:rsidRPr="00525251">
        <w:rPr>
          <w:rFonts w:cstheme="minorHAnsi"/>
          <w:sz w:val="18"/>
          <w:szCs w:val="18"/>
        </w:rPr>
        <w:t>discovered.</w:t>
      </w:r>
    </w:p>
    <w:p w14:paraId="1CFD09B7" w14:textId="7DE39DE7" w:rsidR="00525251" w:rsidRPr="00525251" w:rsidRDefault="00525251" w:rsidP="00525251">
      <w:pPr>
        <w:pStyle w:val="ListParagraph"/>
        <w:numPr>
          <w:ilvl w:val="1"/>
          <w:numId w:val="2"/>
        </w:numPr>
        <w:rPr>
          <w:rFonts w:cstheme="minorHAnsi"/>
          <w:sz w:val="18"/>
          <w:szCs w:val="18"/>
        </w:rPr>
      </w:pPr>
      <w:r w:rsidRPr="00525251">
        <w:rPr>
          <w:rFonts w:cstheme="minorHAnsi"/>
          <w:sz w:val="18"/>
          <w:szCs w:val="18"/>
        </w:rPr>
        <w:t xml:space="preserve">Reporting research progress using controlled-access datasets through annual access renewal requests or project close-out </w:t>
      </w:r>
      <w:r w:rsidR="000B56EF" w:rsidRPr="00525251">
        <w:rPr>
          <w:rFonts w:cstheme="minorHAnsi"/>
          <w:sz w:val="18"/>
          <w:szCs w:val="18"/>
        </w:rPr>
        <w:t>reports.</w:t>
      </w:r>
    </w:p>
    <w:p w14:paraId="37C9960C" w14:textId="62AEBD11" w:rsidR="00525251" w:rsidRPr="000B56EF" w:rsidRDefault="00525251" w:rsidP="000B56EF">
      <w:pPr>
        <w:pStyle w:val="ListParagraph"/>
        <w:numPr>
          <w:ilvl w:val="1"/>
          <w:numId w:val="2"/>
        </w:numPr>
        <w:pBdr>
          <w:bottom w:val="single" w:sz="12" w:space="1" w:color="auto"/>
        </w:pBdr>
        <w:rPr>
          <w:rFonts w:cstheme="minorHAnsi"/>
          <w:sz w:val="18"/>
          <w:szCs w:val="18"/>
        </w:rPr>
      </w:pPr>
      <w:r w:rsidRPr="00525251">
        <w:rPr>
          <w:rFonts w:cstheme="minorHAnsi"/>
          <w:sz w:val="18"/>
          <w:szCs w:val="18"/>
        </w:rPr>
        <w:t>Acknowledging in all oral or written presentations, disclosures, or publications the contributing investigator(s) who conducted the original study, the funding organization(s) that supported the work, the specific dataset(s) and applicable accession number(s), and the NIH-designated data repositories through which the investigator accessed any data.</w:t>
      </w:r>
    </w:p>
    <w:p w14:paraId="28C6BBE6" w14:textId="77777777" w:rsidR="00525251" w:rsidRPr="00525251" w:rsidRDefault="00525251" w:rsidP="00525251">
      <w:pPr>
        <w:pBdr>
          <w:bottom w:val="single" w:sz="12" w:space="1" w:color="auto"/>
        </w:pBdr>
        <w:ind w:left="1080"/>
        <w:rPr>
          <w:rFonts w:cstheme="minorHAnsi"/>
          <w:sz w:val="18"/>
          <w:szCs w:val="18"/>
        </w:rPr>
      </w:pPr>
    </w:p>
    <w:p w14:paraId="294A1DC8" w14:textId="1D989717" w:rsidR="00525251" w:rsidRPr="00525251" w:rsidRDefault="00525251" w:rsidP="00525251">
      <w:pPr>
        <w:pStyle w:val="ListParagraph"/>
        <w:ind w:left="1080"/>
        <w:rPr>
          <w:rFonts w:cstheme="minorHAnsi"/>
        </w:rPr>
      </w:pPr>
      <w:r w:rsidRPr="00525251">
        <w:rPr>
          <w:rFonts w:cstheme="minorHAnsi"/>
        </w:rPr>
        <w:t>Printed Name/Signature of PI</w:t>
      </w:r>
    </w:p>
    <w:p w14:paraId="1C5BCDA4" w14:textId="0D4EB64A" w:rsidR="005D7EF1" w:rsidRPr="006D3953" w:rsidRDefault="006D3953" w:rsidP="00323599">
      <w:pPr>
        <w:rPr>
          <w:rFonts w:cstheme="minorHAnsi"/>
          <w:b/>
          <w:sz w:val="24"/>
          <w:szCs w:val="24"/>
        </w:rPr>
      </w:pPr>
      <w:r>
        <w:rPr>
          <w:rFonts w:cstheme="minorHAnsi"/>
          <w:b/>
          <w:sz w:val="24"/>
          <w:szCs w:val="24"/>
        </w:rPr>
        <w:t xml:space="preserve">Data Request </w:t>
      </w:r>
      <w:r w:rsidR="005D7EF1" w:rsidRPr="006D3953">
        <w:rPr>
          <w:rFonts w:cstheme="minorHAnsi"/>
          <w:b/>
          <w:sz w:val="24"/>
          <w:szCs w:val="24"/>
        </w:rPr>
        <w:t>Process</w:t>
      </w:r>
    </w:p>
    <w:p w14:paraId="08ECCBF9" w14:textId="1FB3EEE1" w:rsidR="005D7EF1" w:rsidRPr="00AD1582" w:rsidRDefault="006B137B" w:rsidP="000F4976">
      <w:pPr>
        <w:pStyle w:val="ListParagraph"/>
        <w:numPr>
          <w:ilvl w:val="0"/>
          <w:numId w:val="1"/>
        </w:numPr>
        <w:ind w:left="360"/>
        <w:rPr>
          <w:rFonts w:cstheme="minorHAnsi"/>
        </w:rPr>
      </w:pPr>
      <w:r>
        <w:rPr>
          <w:rFonts w:cstheme="minorHAnsi"/>
        </w:rPr>
        <w:t xml:space="preserve">Data request </w:t>
      </w:r>
      <w:r w:rsidR="005D7EF1" w:rsidRPr="00AD1582">
        <w:rPr>
          <w:rFonts w:cstheme="minorHAnsi"/>
        </w:rPr>
        <w:t xml:space="preserve">can be submitted by the PIs of the </w:t>
      </w:r>
      <w:r w:rsidR="00922B43" w:rsidRPr="00AD1582">
        <w:rPr>
          <w:rFonts w:cstheme="minorHAnsi"/>
        </w:rPr>
        <w:t>AlcHepNet</w:t>
      </w:r>
      <w:r w:rsidR="005D7EF1" w:rsidRPr="00AD1582">
        <w:rPr>
          <w:rFonts w:cstheme="minorHAnsi"/>
        </w:rPr>
        <w:t xml:space="preserve"> consortium.  Internal and external collaborators are encouraged</w:t>
      </w:r>
      <w:r w:rsidR="006D3953">
        <w:rPr>
          <w:rFonts w:cstheme="minorHAnsi"/>
        </w:rPr>
        <w:t>,</w:t>
      </w:r>
      <w:r w:rsidR="005D7EF1" w:rsidRPr="00AD1582">
        <w:rPr>
          <w:rFonts w:cstheme="minorHAnsi"/>
        </w:rPr>
        <w:t xml:space="preserve"> but the actual </w:t>
      </w:r>
      <w:r>
        <w:rPr>
          <w:rFonts w:cstheme="minorHAnsi"/>
        </w:rPr>
        <w:t>request</w:t>
      </w:r>
      <w:r w:rsidR="005D7EF1" w:rsidRPr="00AD1582">
        <w:rPr>
          <w:rFonts w:cstheme="minorHAnsi"/>
        </w:rPr>
        <w:t xml:space="preserve"> must be submitted by one of the PIs. </w:t>
      </w:r>
      <w:r>
        <w:rPr>
          <w:rFonts w:cstheme="minorHAnsi"/>
        </w:rPr>
        <w:t>Data requests</w:t>
      </w:r>
      <w:r w:rsidR="005D7EF1" w:rsidRPr="00AD1582">
        <w:rPr>
          <w:rFonts w:cstheme="minorHAnsi"/>
        </w:rPr>
        <w:t xml:space="preserve"> by the PI automatically impl</w:t>
      </w:r>
      <w:r>
        <w:rPr>
          <w:rFonts w:cstheme="minorHAnsi"/>
        </w:rPr>
        <w:t>y</w:t>
      </w:r>
      <w:r w:rsidR="005D7EF1" w:rsidRPr="00AD1582">
        <w:rPr>
          <w:rFonts w:cstheme="minorHAnsi"/>
        </w:rPr>
        <w:t xml:space="preserve"> he/she is responsible for completing the study in a timely and rigorous fashion, avoids “mission creep” and abides by other </w:t>
      </w:r>
      <w:r w:rsidR="00922B43" w:rsidRPr="00AD1582">
        <w:rPr>
          <w:rFonts w:cstheme="minorHAnsi"/>
        </w:rPr>
        <w:t xml:space="preserve">AlcHepNet </w:t>
      </w:r>
      <w:r w:rsidR="005D7EF1" w:rsidRPr="00AD1582">
        <w:rPr>
          <w:rFonts w:cstheme="minorHAnsi"/>
        </w:rPr>
        <w:t xml:space="preserve">policies. </w:t>
      </w:r>
    </w:p>
    <w:p w14:paraId="51786100" w14:textId="6E758F3C" w:rsidR="003E0163" w:rsidRPr="006B137B" w:rsidRDefault="005D7EF1" w:rsidP="006B137B">
      <w:pPr>
        <w:pStyle w:val="ListParagraph"/>
        <w:ind w:left="360"/>
        <w:rPr>
          <w:rFonts w:cstheme="minorHAnsi"/>
        </w:rPr>
      </w:pPr>
      <w:r w:rsidRPr="00AD1582">
        <w:rPr>
          <w:rFonts w:cstheme="minorHAnsi"/>
        </w:rPr>
        <w:lastRenderedPageBreak/>
        <w:t xml:space="preserve"> </w:t>
      </w:r>
    </w:p>
    <w:p w14:paraId="122E10B3" w14:textId="64BD5193" w:rsidR="003E0163" w:rsidRPr="00AD1582" w:rsidRDefault="003E0163" w:rsidP="00323599">
      <w:pPr>
        <w:pStyle w:val="ListParagraph"/>
        <w:numPr>
          <w:ilvl w:val="0"/>
          <w:numId w:val="1"/>
        </w:numPr>
        <w:ind w:left="360"/>
        <w:rPr>
          <w:rFonts w:cstheme="minorHAnsi"/>
        </w:rPr>
      </w:pPr>
      <w:r w:rsidRPr="00AD1582">
        <w:rPr>
          <w:rFonts w:cstheme="minorHAnsi"/>
        </w:rPr>
        <w:t>Re</w:t>
      </w:r>
      <w:r w:rsidR="006B137B">
        <w:rPr>
          <w:rFonts w:cstheme="minorHAnsi"/>
        </w:rPr>
        <w:t xml:space="preserve">quest </w:t>
      </w:r>
      <w:r w:rsidRPr="00AD1582">
        <w:rPr>
          <w:rFonts w:cstheme="minorHAnsi"/>
        </w:rPr>
        <w:t>process</w:t>
      </w:r>
    </w:p>
    <w:p w14:paraId="0C435263" w14:textId="7E666BD4" w:rsidR="003E0163" w:rsidRDefault="006B137B" w:rsidP="000F4976">
      <w:pPr>
        <w:pStyle w:val="ListParagraph"/>
        <w:numPr>
          <w:ilvl w:val="1"/>
          <w:numId w:val="1"/>
        </w:numPr>
        <w:ind w:left="1080"/>
        <w:rPr>
          <w:rFonts w:cstheme="minorHAnsi"/>
        </w:rPr>
      </w:pPr>
      <w:r>
        <w:rPr>
          <w:rFonts w:cstheme="minorHAnsi"/>
        </w:rPr>
        <w:t>Savannah will send approval from ancillary study/publication proposal. With this approval, she will send the data dictionary for PI to review</w:t>
      </w:r>
    </w:p>
    <w:p w14:paraId="1B70828D" w14:textId="74A08B12" w:rsidR="006B137B" w:rsidRDefault="006B137B" w:rsidP="006B137B">
      <w:pPr>
        <w:pStyle w:val="ListParagraph"/>
        <w:numPr>
          <w:ilvl w:val="1"/>
          <w:numId w:val="1"/>
        </w:numPr>
        <w:ind w:left="1080"/>
        <w:rPr>
          <w:rFonts w:cstheme="minorHAnsi"/>
        </w:rPr>
      </w:pPr>
      <w:r>
        <w:rPr>
          <w:rFonts w:cstheme="minorHAnsi"/>
        </w:rPr>
        <w:t>PI will create a table of data for request. Table should include:</w:t>
      </w:r>
    </w:p>
    <w:p w14:paraId="0FF28ED9" w14:textId="1FBFDC79" w:rsidR="006B137B" w:rsidRDefault="006B137B" w:rsidP="006B137B">
      <w:pPr>
        <w:pStyle w:val="ListParagraph"/>
        <w:numPr>
          <w:ilvl w:val="2"/>
          <w:numId w:val="1"/>
        </w:numPr>
        <w:rPr>
          <w:rFonts w:cstheme="minorHAnsi"/>
        </w:rPr>
      </w:pPr>
      <w:r>
        <w:rPr>
          <w:rFonts w:cstheme="minorHAnsi"/>
        </w:rPr>
        <w:t xml:space="preserve">Subjects to include (i.e., healthy controls, </w:t>
      </w:r>
      <w:r w:rsidR="006D3953">
        <w:rPr>
          <w:rFonts w:cstheme="minorHAnsi"/>
        </w:rPr>
        <w:t>those with 90-day mortality,</w:t>
      </w:r>
      <w:r>
        <w:rPr>
          <w:rFonts w:cstheme="minorHAnsi"/>
        </w:rPr>
        <w:t xml:space="preserve"> RCT, etc.)</w:t>
      </w:r>
    </w:p>
    <w:p w14:paraId="130731EC" w14:textId="498A414C" w:rsidR="006B137B" w:rsidRDefault="006B137B" w:rsidP="006B137B">
      <w:pPr>
        <w:pStyle w:val="ListParagraph"/>
        <w:numPr>
          <w:ilvl w:val="2"/>
          <w:numId w:val="1"/>
        </w:numPr>
        <w:rPr>
          <w:rFonts w:cstheme="minorHAnsi"/>
        </w:rPr>
      </w:pPr>
      <w:r>
        <w:rPr>
          <w:rFonts w:cstheme="minorHAnsi"/>
        </w:rPr>
        <w:t xml:space="preserve">Time points </w:t>
      </w:r>
    </w:p>
    <w:p w14:paraId="581FFAFF" w14:textId="414A18EA" w:rsidR="006B137B" w:rsidRPr="006D3953" w:rsidRDefault="006B137B" w:rsidP="006B137B">
      <w:pPr>
        <w:pStyle w:val="ListParagraph"/>
        <w:numPr>
          <w:ilvl w:val="2"/>
          <w:numId w:val="1"/>
        </w:numPr>
        <w:rPr>
          <w:rFonts w:cstheme="minorHAnsi"/>
          <w:u w:val="single"/>
        </w:rPr>
      </w:pPr>
      <w:r>
        <w:rPr>
          <w:rFonts w:cstheme="minorHAnsi"/>
        </w:rPr>
        <w:t xml:space="preserve">Specific </w:t>
      </w:r>
      <w:r w:rsidR="006D3953">
        <w:rPr>
          <w:rFonts w:cstheme="minorHAnsi"/>
        </w:rPr>
        <w:t xml:space="preserve">data points such as those with liver transplant, AKI, PT/INR. </w:t>
      </w:r>
      <w:r w:rsidR="006D3953">
        <w:rPr>
          <w:rFonts w:cstheme="minorHAnsi"/>
          <w:u w:val="single"/>
        </w:rPr>
        <w:t>N</w:t>
      </w:r>
      <w:r w:rsidR="006D3953" w:rsidRPr="006D3953">
        <w:rPr>
          <w:rFonts w:cstheme="minorHAnsi"/>
          <w:u w:val="single"/>
        </w:rPr>
        <w:t xml:space="preserve">ot </w:t>
      </w:r>
      <w:r w:rsidR="006D3953">
        <w:rPr>
          <w:rFonts w:cstheme="minorHAnsi"/>
          <w:u w:val="single"/>
        </w:rPr>
        <w:t>“</w:t>
      </w:r>
      <w:r w:rsidR="006D3953" w:rsidRPr="006D3953">
        <w:rPr>
          <w:rFonts w:cstheme="minorHAnsi"/>
          <w:u w:val="single"/>
        </w:rPr>
        <w:t>outcome related clinical data</w:t>
      </w:r>
      <w:r w:rsidR="006D3953">
        <w:rPr>
          <w:rFonts w:cstheme="minorHAnsi"/>
          <w:u w:val="single"/>
        </w:rPr>
        <w:t>”</w:t>
      </w:r>
    </w:p>
    <w:p w14:paraId="6B5175F7" w14:textId="496650D0" w:rsidR="006B137B" w:rsidRPr="00AD1582" w:rsidRDefault="006D3953" w:rsidP="000F4976">
      <w:pPr>
        <w:pStyle w:val="ListParagraph"/>
        <w:numPr>
          <w:ilvl w:val="1"/>
          <w:numId w:val="1"/>
        </w:numPr>
        <w:ind w:left="1080"/>
        <w:rPr>
          <w:rFonts w:cstheme="minorHAnsi"/>
        </w:rPr>
      </w:pPr>
      <w:r>
        <w:rPr>
          <w:rFonts w:cstheme="minorHAnsi"/>
        </w:rPr>
        <w:t>Savannah will subsequently send to IU DCC for review</w:t>
      </w:r>
    </w:p>
    <w:p w14:paraId="603F026C" w14:textId="1E2F713C" w:rsidR="00323599" w:rsidRPr="006D3953" w:rsidRDefault="006D3953" w:rsidP="001D3E1D">
      <w:pPr>
        <w:pStyle w:val="ListParagraph"/>
        <w:numPr>
          <w:ilvl w:val="1"/>
          <w:numId w:val="1"/>
        </w:numPr>
        <w:ind w:left="1080"/>
        <w:rPr>
          <w:rFonts w:cstheme="minorHAnsi"/>
        </w:rPr>
      </w:pPr>
      <w:r>
        <w:rPr>
          <w:rFonts w:cstheme="minorHAnsi"/>
        </w:rPr>
        <w:t>IU DCC will prioritize requests as they come in. Requests can take 1-4 weeks depending on queue</w:t>
      </w:r>
    </w:p>
    <w:p w14:paraId="7D91D0A5" w14:textId="77777777" w:rsidR="00323599" w:rsidRPr="00AD1582" w:rsidRDefault="00323599" w:rsidP="00323599">
      <w:pPr>
        <w:pStyle w:val="ListParagraph"/>
        <w:ind w:left="1440"/>
        <w:rPr>
          <w:rFonts w:cstheme="minorHAnsi"/>
        </w:rPr>
      </w:pPr>
    </w:p>
    <w:p w14:paraId="62765AC5" w14:textId="77777777" w:rsidR="00323599" w:rsidRPr="00AD1582" w:rsidRDefault="00323599" w:rsidP="00AD1582">
      <w:pPr>
        <w:pStyle w:val="ListParagraph"/>
        <w:ind w:left="1080" w:hanging="270"/>
        <w:rPr>
          <w:rFonts w:cstheme="minorHAnsi"/>
        </w:rPr>
      </w:pPr>
    </w:p>
    <w:sectPr w:rsidR="00323599" w:rsidRPr="00AD1582" w:rsidSect="00D224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64FF" w14:textId="77777777" w:rsidR="008C6252" w:rsidRDefault="008C6252" w:rsidP="00FC40FD">
      <w:pPr>
        <w:spacing w:after="0" w:line="240" w:lineRule="auto"/>
      </w:pPr>
      <w:r>
        <w:separator/>
      </w:r>
    </w:p>
  </w:endnote>
  <w:endnote w:type="continuationSeparator" w:id="0">
    <w:p w14:paraId="0DB2B89A" w14:textId="77777777" w:rsidR="008C6252" w:rsidRDefault="008C6252" w:rsidP="00FC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96EF" w14:textId="54D8BCD9" w:rsidR="00FC40FD" w:rsidRPr="00AD1582" w:rsidRDefault="00FC40FD">
    <w:pPr>
      <w:pStyle w:val="Footer"/>
      <w:rPr>
        <w:b/>
        <w:sz w:val="20"/>
        <w:szCs w:val="20"/>
      </w:rPr>
    </w:pPr>
    <w:r w:rsidRPr="00AD1582">
      <w:rPr>
        <w:b/>
        <w:sz w:val="20"/>
        <w:szCs w:val="20"/>
      </w:rPr>
      <w:t>Vers</w:t>
    </w:r>
    <w:r w:rsidR="00AD1582" w:rsidRPr="00AD1582">
      <w:rPr>
        <w:b/>
        <w:sz w:val="20"/>
        <w:szCs w:val="20"/>
      </w:rPr>
      <w:t xml:space="preserve">ion </w:t>
    </w:r>
    <w:r w:rsidR="00525251">
      <w:rPr>
        <w:b/>
        <w:sz w:val="20"/>
        <w:szCs w:val="20"/>
      </w:rPr>
      <w:t>2</w:t>
    </w:r>
    <w:r w:rsidR="006D3953">
      <w:rPr>
        <w:b/>
        <w:sz w:val="20"/>
        <w:szCs w:val="20"/>
      </w:rPr>
      <w:t xml:space="preserve"> </w:t>
    </w:r>
    <w:r w:rsidR="00AD1582" w:rsidRPr="00AD1582">
      <w:rPr>
        <w:b/>
        <w:sz w:val="20"/>
        <w:szCs w:val="20"/>
      </w:rPr>
      <w:t>(</w:t>
    </w:r>
    <w:r w:rsidR="00525251">
      <w:rPr>
        <w:b/>
        <w:sz w:val="20"/>
        <w:szCs w:val="20"/>
      </w:rPr>
      <w:t>10/25</w:t>
    </w:r>
    <w:r w:rsidR="00AD1582" w:rsidRPr="00AD1582">
      <w:rPr>
        <w:b/>
        <w:sz w:val="20"/>
        <w:szCs w:val="20"/>
      </w:rPr>
      <w:t>/</w:t>
    </w:r>
    <w:r w:rsidR="006D3953">
      <w:rPr>
        <w:b/>
        <w:sz w:val="20"/>
        <w:szCs w:val="20"/>
      </w:rPr>
      <w:t>24</w:t>
    </w:r>
    <w:r w:rsidRPr="00AD1582">
      <w:rPr>
        <w:b/>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D412" w14:textId="77777777" w:rsidR="008C6252" w:rsidRDefault="008C6252" w:rsidP="00FC40FD">
      <w:pPr>
        <w:spacing w:after="0" w:line="240" w:lineRule="auto"/>
      </w:pPr>
      <w:r>
        <w:separator/>
      </w:r>
    </w:p>
  </w:footnote>
  <w:footnote w:type="continuationSeparator" w:id="0">
    <w:p w14:paraId="42DE128A" w14:textId="77777777" w:rsidR="008C6252" w:rsidRDefault="008C6252" w:rsidP="00FC4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08DB" w14:textId="7E231CCD" w:rsidR="00AD1582" w:rsidRPr="00733F21" w:rsidRDefault="00AD1582" w:rsidP="00AD1582">
    <w:pPr>
      <w:rPr>
        <w:rFonts w:cstheme="minorHAnsi"/>
        <w:b/>
        <w:sz w:val="24"/>
        <w:szCs w:val="24"/>
      </w:rPr>
    </w:pPr>
    <w:r w:rsidRPr="00733F21">
      <w:rPr>
        <w:noProof/>
        <w:sz w:val="24"/>
        <w:szCs w:val="24"/>
      </w:rPr>
      <w:drawing>
        <wp:anchor distT="0" distB="0" distL="114300" distR="114300" simplePos="0" relativeHeight="251658240" behindDoc="0" locked="0" layoutInCell="1" allowOverlap="1" wp14:anchorId="3532848A" wp14:editId="6E13809D">
          <wp:simplePos x="0" y="0"/>
          <wp:positionH relativeFrom="column">
            <wp:posOffset>4866957</wp:posOffset>
          </wp:positionH>
          <wp:positionV relativeFrom="paragraph">
            <wp:posOffset>-276860</wp:posOffset>
          </wp:positionV>
          <wp:extent cx="1780985"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chepne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0985" cy="647700"/>
                  </a:xfrm>
                  <a:prstGeom prst="rect">
                    <a:avLst/>
                  </a:prstGeom>
                </pic:spPr>
              </pic:pic>
            </a:graphicData>
          </a:graphic>
          <wp14:sizeRelH relativeFrom="page">
            <wp14:pctWidth>0</wp14:pctWidth>
          </wp14:sizeRelH>
          <wp14:sizeRelV relativeFrom="page">
            <wp14:pctHeight>0</wp14:pctHeight>
          </wp14:sizeRelV>
        </wp:anchor>
      </w:drawing>
    </w:r>
    <w:r w:rsidRPr="00733F21">
      <w:rPr>
        <w:rFonts w:cstheme="minorHAnsi"/>
        <w:b/>
        <w:sz w:val="24"/>
        <w:szCs w:val="24"/>
      </w:rPr>
      <w:t xml:space="preserve">AlcHepNet </w:t>
    </w:r>
    <w:r w:rsidR="00733F21" w:rsidRPr="00733F21">
      <w:rPr>
        <w:rFonts w:cstheme="minorHAnsi"/>
        <w:b/>
        <w:sz w:val="24"/>
        <w:szCs w:val="24"/>
      </w:rPr>
      <w:t xml:space="preserve">Consortium | </w:t>
    </w:r>
    <w:r w:rsidR="006B137B">
      <w:rPr>
        <w:rFonts w:cstheme="minorHAnsi"/>
        <w:b/>
        <w:sz w:val="24"/>
        <w:szCs w:val="24"/>
      </w:rPr>
      <w:t>Data Request Guidelines</w:t>
    </w:r>
  </w:p>
  <w:p w14:paraId="2DCF7ABF" w14:textId="77777777" w:rsidR="00AD1582" w:rsidRDefault="00AD1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A33"/>
    <w:multiLevelType w:val="hybridMultilevel"/>
    <w:tmpl w:val="274E3184"/>
    <w:lvl w:ilvl="0" w:tplc="23F85E38">
      <w:start w:val="1"/>
      <w:numFmt w:val="bullet"/>
      <w:lvlText w:val="•"/>
      <w:lvlJc w:val="left"/>
      <w:pPr>
        <w:tabs>
          <w:tab w:val="num" w:pos="1440"/>
        </w:tabs>
        <w:ind w:left="1440" w:hanging="360"/>
      </w:pPr>
      <w:rPr>
        <w:rFonts w:ascii="Arial" w:hAnsi="Arial" w:hint="default"/>
      </w:rPr>
    </w:lvl>
    <w:lvl w:ilvl="1" w:tplc="270C430A" w:tentative="1">
      <w:start w:val="1"/>
      <w:numFmt w:val="bullet"/>
      <w:lvlText w:val="•"/>
      <w:lvlJc w:val="left"/>
      <w:pPr>
        <w:tabs>
          <w:tab w:val="num" w:pos="2160"/>
        </w:tabs>
        <w:ind w:left="2160" w:hanging="360"/>
      </w:pPr>
      <w:rPr>
        <w:rFonts w:ascii="Arial" w:hAnsi="Arial" w:hint="default"/>
      </w:rPr>
    </w:lvl>
    <w:lvl w:ilvl="2" w:tplc="6D141AD0" w:tentative="1">
      <w:start w:val="1"/>
      <w:numFmt w:val="bullet"/>
      <w:lvlText w:val="•"/>
      <w:lvlJc w:val="left"/>
      <w:pPr>
        <w:tabs>
          <w:tab w:val="num" w:pos="2880"/>
        </w:tabs>
        <w:ind w:left="2880" w:hanging="360"/>
      </w:pPr>
      <w:rPr>
        <w:rFonts w:ascii="Arial" w:hAnsi="Arial" w:hint="default"/>
      </w:rPr>
    </w:lvl>
    <w:lvl w:ilvl="3" w:tplc="EA348898" w:tentative="1">
      <w:start w:val="1"/>
      <w:numFmt w:val="bullet"/>
      <w:lvlText w:val="•"/>
      <w:lvlJc w:val="left"/>
      <w:pPr>
        <w:tabs>
          <w:tab w:val="num" w:pos="3600"/>
        </w:tabs>
        <w:ind w:left="3600" w:hanging="360"/>
      </w:pPr>
      <w:rPr>
        <w:rFonts w:ascii="Arial" w:hAnsi="Arial" w:hint="default"/>
      </w:rPr>
    </w:lvl>
    <w:lvl w:ilvl="4" w:tplc="C420A79C" w:tentative="1">
      <w:start w:val="1"/>
      <w:numFmt w:val="bullet"/>
      <w:lvlText w:val="•"/>
      <w:lvlJc w:val="left"/>
      <w:pPr>
        <w:tabs>
          <w:tab w:val="num" w:pos="4320"/>
        </w:tabs>
        <w:ind w:left="4320" w:hanging="360"/>
      </w:pPr>
      <w:rPr>
        <w:rFonts w:ascii="Arial" w:hAnsi="Arial" w:hint="default"/>
      </w:rPr>
    </w:lvl>
    <w:lvl w:ilvl="5" w:tplc="82D0D0AC" w:tentative="1">
      <w:start w:val="1"/>
      <w:numFmt w:val="bullet"/>
      <w:lvlText w:val="•"/>
      <w:lvlJc w:val="left"/>
      <w:pPr>
        <w:tabs>
          <w:tab w:val="num" w:pos="5040"/>
        </w:tabs>
        <w:ind w:left="5040" w:hanging="360"/>
      </w:pPr>
      <w:rPr>
        <w:rFonts w:ascii="Arial" w:hAnsi="Arial" w:hint="default"/>
      </w:rPr>
    </w:lvl>
    <w:lvl w:ilvl="6" w:tplc="DA04574E" w:tentative="1">
      <w:start w:val="1"/>
      <w:numFmt w:val="bullet"/>
      <w:lvlText w:val="•"/>
      <w:lvlJc w:val="left"/>
      <w:pPr>
        <w:tabs>
          <w:tab w:val="num" w:pos="5760"/>
        </w:tabs>
        <w:ind w:left="5760" w:hanging="360"/>
      </w:pPr>
      <w:rPr>
        <w:rFonts w:ascii="Arial" w:hAnsi="Arial" w:hint="default"/>
      </w:rPr>
    </w:lvl>
    <w:lvl w:ilvl="7" w:tplc="AF06F736" w:tentative="1">
      <w:start w:val="1"/>
      <w:numFmt w:val="bullet"/>
      <w:lvlText w:val="•"/>
      <w:lvlJc w:val="left"/>
      <w:pPr>
        <w:tabs>
          <w:tab w:val="num" w:pos="6480"/>
        </w:tabs>
        <w:ind w:left="6480" w:hanging="360"/>
      </w:pPr>
      <w:rPr>
        <w:rFonts w:ascii="Arial" w:hAnsi="Arial" w:hint="default"/>
      </w:rPr>
    </w:lvl>
    <w:lvl w:ilvl="8" w:tplc="93BABF8E"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09B46784"/>
    <w:multiLevelType w:val="hybridMultilevel"/>
    <w:tmpl w:val="DE02B80C"/>
    <w:lvl w:ilvl="0" w:tplc="3EC69AB0">
      <w:start w:val="1"/>
      <w:numFmt w:val="bullet"/>
      <w:lvlText w:val="•"/>
      <w:lvlJc w:val="left"/>
      <w:pPr>
        <w:tabs>
          <w:tab w:val="num" w:pos="720"/>
        </w:tabs>
        <w:ind w:left="720" w:hanging="360"/>
      </w:pPr>
      <w:rPr>
        <w:rFonts w:ascii="Arial" w:hAnsi="Arial" w:hint="default"/>
      </w:rPr>
    </w:lvl>
    <w:lvl w:ilvl="1" w:tplc="F6C44B04" w:tentative="1">
      <w:start w:val="1"/>
      <w:numFmt w:val="bullet"/>
      <w:lvlText w:val="•"/>
      <w:lvlJc w:val="left"/>
      <w:pPr>
        <w:tabs>
          <w:tab w:val="num" w:pos="1440"/>
        </w:tabs>
        <w:ind w:left="1440" w:hanging="360"/>
      </w:pPr>
      <w:rPr>
        <w:rFonts w:ascii="Arial" w:hAnsi="Arial" w:hint="default"/>
      </w:rPr>
    </w:lvl>
    <w:lvl w:ilvl="2" w:tplc="3D347212" w:tentative="1">
      <w:start w:val="1"/>
      <w:numFmt w:val="bullet"/>
      <w:lvlText w:val="•"/>
      <w:lvlJc w:val="left"/>
      <w:pPr>
        <w:tabs>
          <w:tab w:val="num" w:pos="2160"/>
        </w:tabs>
        <w:ind w:left="2160" w:hanging="360"/>
      </w:pPr>
      <w:rPr>
        <w:rFonts w:ascii="Arial" w:hAnsi="Arial" w:hint="default"/>
      </w:rPr>
    </w:lvl>
    <w:lvl w:ilvl="3" w:tplc="A4FAA8B4" w:tentative="1">
      <w:start w:val="1"/>
      <w:numFmt w:val="bullet"/>
      <w:lvlText w:val="•"/>
      <w:lvlJc w:val="left"/>
      <w:pPr>
        <w:tabs>
          <w:tab w:val="num" w:pos="2880"/>
        </w:tabs>
        <w:ind w:left="2880" w:hanging="360"/>
      </w:pPr>
      <w:rPr>
        <w:rFonts w:ascii="Arial" w:hAnsi="Arial" w:hint="default"/>
      </w:rPr>
    </w:lvl>
    <w:lvl w:ilvl="4" w:tplc="72127CB4" w:tentative="1">
      <w:start w:val="1"/>
      <w:numFmt w:val="bullet"/>
      <w:lvlText w:val="•"/>
      <w:lvlJc w:val="left"/>
      <w:pPr>
        <w:tabs>
          <w:tab w:val="num" w:pos="3600"/>
        </w:tabs>
        <w:ind w:left="3600" w:hanging="360"/>
      </w:pPr>
      <w:rPr>
        <w:rFonts w:ascii="Arial" w:hAnsi="Arial" w:hint="default"/>
      </w:rPr>
    </w:lvl>
    <w:lvl w:ilvl="5" w:tplc="6DA4A3F4" w:tentative="1">
      <w:start w:val="1"/>
      <w:numFmt w:val="bullet"/>
      <w:lvlText w:val="•"/>
      <w:lvlJc w:val="left"/>
      <w:pPr>
        <w:tabs>
          <w:tab w:val="num" w:pos="4320"/>
        </w:tabs>
        <w:ind w:left="4320" w:hanging="360"/>
      </w:pPr>
      <w:rPr>
        <w:rFonts w:ascii="Arial" w:hAnsi="Arial" w:hint="default"/>
      </w:rPr>
    </w:lvl>
    <w:lvl w:ilvl="6" w:tplc="5C243AD8" w:tentative="1">
      <w:start w:val="1"/>
      <w:numFmt w:val="bullet"/>
      <w:lvlText w:val="•"/>
      <w:lvlJc w:val="left"/>
      <w:pPr>
        <w:tabs>
          <w:tab w:val="num" w:pos="5040"/>
        </w:tabs>
        <w:ind w:left="5040" w:hanging="360"/>
      </w:pPr>
      <w:rPr>
        <w:rFonts w:ascii="Arial" w:hAnsi="Arial" w:hint="default"/>
      </w:rPr>
    </w:lvl>
    <w:lvl w:ilvl="7" w:tplc="B9B00878" w:tentative="1">
      <w:start w:val="1"/>
      <w:numFmt w:val="bullet"/>
      <w:lvlText w:val="•"/>
      <w:lvlJc w:val="left"/>
      <w:pPr>
        <w:tabs>
          <w:tab w:val="num" w:pos="5760"/>
        </w:tabs>
        <w:ind w:left="5760" w:hanging="360"/>
      </w:pPr>
      <w:rPr>
        <w:rFonts w:ascii="Arial" w:hAnsi="Arial" w:hint="default"/>
      </w:rPr>
    </w:lvl>
    <w:lvl w:ilvl="8" w:tplc="3DC88B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4C05CF"/>
    <w:multiLevelType w:val="hybridMultilevel"/>
    <w:tmpl w:val="5414D7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2191C"/>
    <w:multiLevelType w:val="multilevel"/>
    <w:tmpl w:val="127202C4"/>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BB77463"/>
    <w:multiLevelType w:val="hybridMultilevel"/>
    <w:tmpl w:val="9BC0BA7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435">
    <w:abstractNumId w:val="4"/>
  </w:num>
  <w:num w:numId="2" w16cid:durableId="497772818">
    <w:abstractNumId w:val="2"/>
  </w:num>
  <w:num w:numId="3" w16cid:durableId="1094857606">
    <w:abstractNumId w:val="1"/>
  </w:num>
  <w:num w:numId="4" w16cid:durableId="1252617868">
    <w:abstractNumId w:val="0"/>
  </w:num>
  <w:num w:numId="5" w16cid:durableId="80304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G0MDIwsrAwsjAyM7dQ0lEKTi0uzszPAykwrgUAUfrmsiwAAAA="/>
  </w:docVars>
  <w:rsids>
    <w:rsidRoot w:val="005D7EF1"/>
    <w:rsid w:val="00002F73"/>
    <w:rsid w:val="00031C2D"/>
    <w:rsid w:val="000B56EF"/>
    <w:rsid w:val="000F4976"/>
    <w:rsid w:val="00126E8E"/>
    <w:rsid w:val="001D4A87"/>
    <w:rsid w:val="00280E39"/>
    <w:rsid w:val="00323599"/>
    <w:rsid w:val="003377CA"/>
    <w:rsid w:val="003C6DB5"/>
    <w:rsid w:val="003E0163"/>
    <w:rsid w:val="00465036"/>
    <w:rsid w:val="004A674E"/>
    <w:rsid w:val="00525251"/>
    <w:rsid w:val="005D7EF1"/>
    <w:rsid w:val="006329D8"/>
    <w:rsid w:val="00642FDF"/>
    <w:rsid w:val="00645606"/>
    <w:rsid w:val="006778BF"/>
    <w:rsid w:val="006B137B"/>
    <w:rsid w:val="006D3953"/>
    <w:rsid w:val="00733F21"/>
    <w:rsid w:val="008140D7"/>
    <w:rsid w:val="008B4161"/>
    <w:rsid w:val="008C6252"/>
    <w:rsid w:val="0091308F"/>
    <w:rsid w:val="00922B43"/>
    <w:rsid w:val="00970C02"/>
    <w:rsid w:val="009C7051"/>
    <w:rsid w:val="009D7AEC"/>
    <w:rsid w:val="00AD1582"/>
    <w:rsid w:val="00BC48EB"/>
    <w:rsid w:val="00BE2061"/>
    <w:rsid w:val="00D2249C"/>
    <w:rsid w:val="00DA5770"/>
    <w:rsid w:val="00DB4A9E"/>
    <w:rsid w:val="00FC40FD"/>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C5D9A"/>
  <w15:docId w15:val="{78F0D608-AE2B-4F90-86DA-FF0939CB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F1"/>
    <w:pPr>
      <w:ind w:left="720"/>
      <w:contextualSpacing/>
    </w:pPr>
  </w:style>
  <w:style w:type="character" w:styleId="CommentReference">
    <w:name w:val="annotation reference"/>
    <w:basedOn w:val="DefaultParagraphFont"/>
    <w:uiPriority w:val="99"/>
    <w:semiHidden/>
    <w:unhideWhenUsed/>
    <w:rsid w:val="0091308F"/>
    <w:rPr>
      <w:sz w:val="16"/>
      <w:szCs w:val="16"/>
    </w:rPr>
  </w:style>
  <w:style w:type="paragraph" w:styleId="CommentText">
    <w:name w:val="annotation text"/>
    <w:basedOn w:val="Normal"/>
    <w:link w:val="CommentTextChar"/>
    <w:uiPriority w:val="99"/>
    <w:semiHidden/>
    <w:unhideWhenUsed/>
    <w:rsid w:val="0091308F"/>
    <w:pPr>
      <w:spacing w:line="240" w:lineRule="auto"/>
    </w:pPr>
    <w:rPr>
      <w:sz w:val="20"/>
      <w:szCs w:val="20"/>
    </w:rPr>
  </w:style>
  <w:style w:type="character" w:customStyle="1" w:styleId="CommentTextChar">
    <w:name w:val="Comment Text Char"/>
    <w:basedOn w:val="DefaultParagraphFont"/>
    <w:link w:val="CommentText"/>
    <w:uiPriority w:val="99"/>
    <w:semiHidden/>
    <w:rsid w:val="0091308F"/>
    <w:rPr>
      <w:sz w:val="20"/>
      <w:szCs w:val="20"/>
    </w:rPr>
  </w:style>
  <w:style w:type="paragraph" w:styleId="CommentSubject">
    <w:name w:val="annotation subject"/>
    <w:basedOn w:val="CommentText"/>
    <w:next w:val="CommentText"/>
    <w:link w:val="CommentSubjectChar"/>
    <w:uiPriority w:val="99"/>
    <w:semiHidden/>
    <w:unhideWhenUsed/>
    <w:rsid w:val="0091308F"/>
    <w:rPr>
      <w:b/>
      <w:bCs/>
    </w:rPr>
  </w:style>
  <w:style w:type="character" w:customStyle="1" w:styleId="CommentSubjectChar">
    <w:name w:val="Comment Subject Char"/>
    <w:basedOn w:val="CommentTextChar"/>
    <w:link w:val="CommentSubject"/>
    <w:uiPriority w:val="99"/>
    <w:semiHidden/>
    <w:rsid w:val="0091308F"/>
    <w:rPr>
      <w:b/>
      <w:bCs/>
      <w:sz w:val="20"/>
      <w:szCs w:val="20"/>
    </w:rPr>
  </w:style>
  <w:style w:type="paragraph" w:styleId="BalloonText">
    <w:name w:val="Balloon Text"/>
    <w:basedOn w:val="Normal"/>
    <w:link w:val="BalloonTextChar"/>
    <w:uiPriority w:val="99"/>
    <w:semiHidden/>
    <w:unhideWhenUsed/>
    <w:rsid w:val="0091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8F"/>
    <w:rPr>
      <w:rFonts w:ascii="Tahoma" w:hAnsi="Tahoma" w:cs="Tahoma"/>
      <w:sz w:val="16"/>
      <w:szCs w:val="16"/>
    </w:rPr>
  </w:style>
  <w:style w:type="paragraph" w:styleId="Header">
    <w:name w:val="header"/>
    <w:basedOn w:val="Normal"/>
    <w:link w:val="HeaderChar"/>
    <w:uiPriority w:val="99"/>
    <w:unhideWhenUsed/>
    <w:rsid w:val="00FC4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FD"/>
  </w:style>
  <w:style w:type="paragraph" w:styleId="Footer">
    <w:name w:val="footer"/>
    <w:basedOn w:val="Normal"/>
    <w:link w:val="FooterChar"/>
    <w:uiPriority w:val="99"/>
    <w:unhideWhenUsed/>
    <w:rsid w:val="00FC4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FD"/>
  </w:style>
  <w:style w:type="character" w:styleId="Hyperlink">
    <w:name w:val="Hyperlink"/>
    <w:basedOn w:val="DefaultParagraphFont"/>
    <w:uiPriority w:val="99"/>
    <w:unhideWhenUsed/>
    <w:rsid w:val="009C7051"/>
    <w:rPr>
      <w:color w:val="0000FF" w:themeColor="hyperlink"/>
      <w:u w:val="single"/>
    </w:rPr>
  </w:style>
  <w:style w:type="character" w:styleId="UnresolvedMention">
    <w:name w:val="Unresolved Mention"/>
    <w:basedOn w:val="DefaultParagraphFont"/>
    <w:uiPriority w:val="99"/>
    <w:semiHidden/>
    <w:unhideWhenUsed/>
    <w:rsid w:val="009C7051"/>
    <w:rPr>
      <w:color w:val="605E5C"/>
      <w:shd w:val="clear" w:color="auto" w:fill="E1DFDD"/>
    </w:rPr>
  </w:style>
  <w:style w:type="paragraph" w:styleId="Revision">
    <w:name w:val="Revision"/>
    <w:hidden/>
    <w:uiPriority w:val="99"/>
    <w:semiHidden/>
    <w:rsid w:val="00126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4366">
      <w:bodyDiv w:val="1"/>
      <w:marLeft w:val="0"/>
      <w:marRight w:val="0"/>
      <w:marTop w:val="0"/>
      <w:marBottom w:val="0"/>
      <w:divBdr>
        <w:top w:val="none" w:sz="0" w:space="0" w:color="auto"/>
        <w:left w:val="none" w:sz="0" w:space="0" w:color="auto"/>
        <w:bottom w:val="none" w:sz="0" w:space="0" w:color="auto"/>
        <w:right w:val="none" w:sz="0" w:space="0" w:color="auto"/>
      </w:divBdr>
      <w:divsChild>
        <w:div w:id="1097335962">
          <w:marLeft w:val="360"/>
          <w:marRight w:val="0"/>
          <w:marTop w:val="200"/>
          <w:marBottom w:val="0"/>
          <w:divBdr>
            <w:top w:val="none" w:sz="0" w:space="0" w:color="auto"/>
            <w:left w:val="none" w:sz="0" w:space="0" w:color="auto"/>
            <w:bottom w:val="none" w:sz="0" w:space="0" w:color="auto"/>
            <w:right w:val="none" w:sz="0" w:space="0" w:color="auto"/>
          </w:divBdr>
        </w:div>
        <w:div w:id="1242133486">
          <w:marLeft w:val="360"/>
          <w:marRight w:val="0"/>
          <w:marTop w:val="200"/>
          <w:marBottom w:val="0"/>
          <w:divBdr>
            <w:top w:val="none" w:sz="0" w:space="0" w:color="auto"/>
            <w:left w:val="none" w:sz="0" w:space="0" w:color="auto"/>
            <w:bottom w:val="none" w:sz="0" w:space="0" w:color="auto"/>
            <w:right w:val="none" w:sz="0" w:space="0" w:color="auto"/>
          </w:divBdr>
        </w:div>
        <w:div w:id="1706102740">
          <w:marLeft w:val="360"/>
          <w:marRight w:val="0"/>
          <w:marTop w:val="200"/>
          <w:marBottom w:val="0"/>
          <w:divBdr>
            <w:top w:val="none" w:sz="0" w:space="0" w:color="auto"/>
            <w:left w:val="none" w:sz="0" w:space="0" w:color="auto"/>
            <w:bottom w:val="none" w:sz="0" w:space="0" w:color="auto"/>
            <w:right w:val="none" w:sz="0" w:space="0" w:color="auto"/>
          </w:divBdr>
        </w:div>
      </w:divsChild>
    </w:div>
    <w:div w:id="1114859763">
      <w:bodyDiv w:val="1"/>
      <w:marLeft w:val="0"/>
      <w:marRight w:val="0"/>
      <w:marTop w:val="0"/>
      <w:marBottom w:val="0"/>
      <w:divBdr>
        <w:top w:val="none" w:sz="0" w:space="0" w:color="auto"/>
        <w:left w:val="none" w:sz="0" w:space="0" w:color="auto"/>
        <w:bottom w:val="none" w:sz="0" w:space="0" w:color="auto"/>
        <w:right w:val="none" w:sz="0" w:space="0" w:color="auto"/>
      </w:divBdr>
      <w:divsChild>
        <w:div w:id="1233733258">
          <w:marLeft w:val="360"/>
          <w:marRight w:val="0"/>
          <w:marTop w:val="200"/>
          <w:marBottom w:val="0"/>
          <w:divBdr>
            <w:top w:val="none" w:sz="0" w:space="0" w:color="auto"/>
            <w:left w:val="none" w:sz="0" w:space="0" w:color="auto"/>
            <w:bottom w:val="none" w:sz="0" w:space="0" w:color="auto"/>
            <w:right w:val="none" w:sz="0" w:space="0" w:color="auto"/>
          </w:divBdr>
        </w:div>
      </w:divsChild>
    </w:div>
    <w:div w:id="17777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notice-files/not-od-14-12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778E-5270-42BF-AAD9-55968DEE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3069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dc:creator>
  <cp:lastModifiedBy>Yarnelle, Savannah</cp:lastModifiedBy>
  <cp:revision>2</cp:revision>
  <dcterms:created xsi:type="dcterms:W3CDTF">2024-10-25T13:56:00Z</dcterms:created>
  <dcterms:modified xsi:type="dcterms:W3CDTF">2024-10-25T13:56:00Z</dcterms:modified>
</cp:coreProperties>
</file>