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2/4-15</w:t>
        <w:br w:type="textWrapping"/>
        <w:t xml:space="preserve">Time: 11:35</w:t>
        <w:br w:type="textWrapping"/>
        <w:br w:type="textWrapping"/>
        <w:t xml:space="preserve">Facilitator: Jacob Duvander</w:t>
        <w:br w:type="textWrapping"/>
        <w:t xml:space="preserve">Participants: Jenny Orell, Jacob Duvander, Joel Hultin och Jennifer Linder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LibGDX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 - put everything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  <w:t xml:space="preserve">GUI-prototype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decided to use the help library LibGDX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game name - Ruins of Corrosa 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Temporary Mom name - Jisala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Domain Model is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cases-model made in a computer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  <w:t xml:space="preserve">Discussed how to do with Git. (gitignore)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together the RAD later today.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  <w:br w:type="textWrapping"/>
        <w:t xml:space="preserve">Learn LibGDX and Maven during the vacation.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should have done the workflow.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gitignore.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together the RAD.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 xml:space="preserve">Next meeting:Tuesday, 21/4 Start: kl 01:15 p.m.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