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task-1-model-selection-and-justification"/>
    <w:p>
      <w:pPr>
        <w:pStyle w:val="Heading1"/>
      </w:pPr>
      <w:r>
        <w:t xml:space="preserve">Task 1: Model Selection and Justification</w:t>
      </w:r>
    </w:p>
    <w:bookmarkStart w:id="20" w:name="selected-model-random-forest-regression"/>
    <w:p>
      <w:pPr>
        <w:pStyle w:val="Heading2"/>
      </w:pPr>
      <w:r>
        <w:t xml:space="preserve">1. Selected Model: Random Forest Regression</w:t>
      </w:r>
    </w:p>
    <w:p>
      <w:pPr>
        <w:pStyle w:val="FirstParagraph"/>
      </w:pPr>
      <w:r>
        <w:t xml:space="preserve">Random Forest was selected as the primary model for predicting continuous health outcomes in South African health datasets.</w:t>
      </w:r>
    </w:p>
    <w:bookmarkEnd w:id="20"/>
    <w:bookmarkStart w:id="25" w:name="justification"/>
    <w:p>
      <w:pPr>
        <w:pStyle w:val="Heading2"/>
      </w:pPr>
      <w:r>
        <w:t xml:space="preserve">2. Justification</w:t>
      </w:r>
    </w:p>
    <w:bookmarkStart w:id="21" w:name="data-compatibility"/>
    <w:p>
      <w:pPr>
        <w:pStyle w:val="Heading3"/>
      </w:pPr>
      <w:r>
        <w:t xml:space="preserve">2.1 Data Compatibility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Dataset size:</w:t>
      </w:r>
      <w:r>
        <w:t xml:space="preserve"> </w:t>
      </w:r>
      <w:r>
        <w:t xml:space="preserve">609 records with 11 features is optimal for ensemble methods.</w:t>
      </w:r>
    </w:p>
    <w:p>
      <w:pPr>
        <w:pStyle w:val="Compact"/>
        <w:numPr>
          <w:ilvl w:val="0"/>
          <w:numId w:val="1001"/>
        </w:numPr>
      </w:pPr>
      <w:r>
        <w:t xml:space="preserve">Random Forest handles moderate-sized datasets effectively without overfitting risks common in deep learning approaches.</w:t>
      </w:r>
    </w:p>
    <w:p>
      <w:pPr>
        <w:pStyle w:val="Compact"/>
        <w:numPr>
          <w:ilvl w:val="0"/>
          <w:numId w:val="1001"/>
        </w:numPr>
      </w:pPr>
      <w:r>
        <w:t xml:space="preserve">The ensemble approach provides stable predictions even with limited data.</w:t>
      </w:r>
    </w:p>
    <w:bookmarkEnd w:id="21"/>
    <w:bookmarkStart w:id="22" w:name="feature-handling"/>
    <w:p>
      <w:pPr>
        <w:pStyle w:val="Heading3"/>
      </w:pPr>
      <w:r>
        <w:t xml:space="preserve">2.2 Feature Handling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Mixed data types:</w:t>
      </w:r>
      <w:r>
        <w:t xml:space="preserve"> </w:t>
      </w:r>
      <w:r>
        <w:t xml:space="preserve">Dataset contains both categorical (health indicator types, provinces) and numerical features (sample sizes, scaled values).</w:t>
      </w:r>
    </w:p>
    <w:p>
      <w:pPr>
        <w:pStyle w:val="Compact"/>
        <w:numPr>
          <w:ilvl w:val="0"/>
          <w:numId w:val="1002"/>
        </w:numPr>
      </w:pPr>
      <w:r>
        <w:t xml:space="preserve">Random Forest natively handles mixed feature types without requiring extensive preprocessing.</w:t>
      </w:r>
    </w:p>
    <w:p>
      <w:pPr>
        <w:pStyle w:val="Compact"/>
        <w:numPr>
          <w:ilvl w:val="0"/>
          <w:numId w:val="1002"/>
        </w:numPr>
      </w:pPr>
      <w:r>
        <w:t xml:space="preserve">No assumptions about feature distributions or linear relationships required.</w:t>
      </w:r>
    </w:p>
    <w:bookmarkEnd w:id="22"/>
    <w:bookmarkStart w:id="23" w:name="interpretability"/>
    <w:p>
      <w:pPr>
        <w:pStyle w:val="Heading3"/>
      </w:pPr>
      <w:r>
        <w:t xml:space="preserve">2.3 Interpretability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Variable importance metrics:</w:t>
      </w:r>
      <w:r>
        <w:t xml:space="preserve"> </w:t>
      </w:r>
      <w:r>
        <w:t xml:space="preserve">Random Forest provides built-in feature importance scores (%IncMSE, IncNodePurity).</w:t>
      </w:r>
    </w:p>
    <w:p>
      <w:pPr>
        <w:pStyle w:val="Compact"/>
        <w:numPr>
          <w:ilvl w:val="0"/>
          <w:numId w:val="1003"/>
        </w:numPr>
      </w:pPr>
      <w:r>
        <w:t xml:space="preserve">Critical for health policy contexts where stakeholders need to understand which indicators drive outcomes.</w:t>
      </w:r>
    </w:p>
    <w:p>
      <w:pPr>
        <w:pStyle w:val="Compact"/>
        <w:numPr>
          <w:ilvl w:val="0"/>
          <w:numId w:val="1003"/>
        </w:numPr>
      </w:pPr>
      <w:r>
        <w:t xml:space="preserve">Enables evidence-based resource allocation and intervention prioritization.</w:t>
      </w:r>
    </w:p>
    <w:bookmarkEnd w:id="23"/>
    <w:bookmarkStart w:id="24" w:name="robustness"/>
    <w:p>
      <w:pPr>
        <w:pStyle w:val="Heading3"/>
      </w:pPr>
      <w:r>
        <w:t xml:space="preserve">2.4 Robustness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No distribution assumptions:</w:t>
      </w:r>
      <w:r>
        <w:t xml:space="preserve"> </w:t>
      </w:r>
      <w:r>
        <w:t xml:space="preserve">Unlike linear regression, Random Forest is non-parametric.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Handles missing data:</w:t>
      </w:r>
      <w:r>
        <w:t xml:space="preserve"> </w:t>
      </w:r>
      <w:r>
        <w:t xml:space="preserve">Can maintain accuracy even with incomplete records.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Out-of-bag validation:</w:t>
      </w:r>
      <w:r>
        <w:t xml:space="preserve"> </w:t>
      </w:r>
      <w:r>
        <w:t xml:space="preserve">Internal cross-validation mechanism provides unbiased error estimates without requiring separate validation sets.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Resistant to outliers:</w:t>
      </w:r>
      <w:r>
        <w:t xml:space="preserve"> </w:t>
      </w:r>
      <w:r>
        <w:t xml:space="preserve">Ensemble voting reduces influence of extreme values common in health surveys.</w:t>
      </w:r>
    </w:p>
    <w:bookmarkEnd w:id="24"/>
    <w:bookmarkEnd w:id="25"/>
    <w:bookmarkStart w:id="29" w:name="technical-assumptions-validation"/>
    <w:p>
      <w:pPr>
        <w:pStyle w:val="Heading2"/>
      </w:pPr>
      <w:r>
        <w:t xml:space="preserve">3. Technical Assumptions Validation</w:t>
      </w:r>
    </w:p>
    <w:bookmarkStart w:id="26" w:name="sample-size-adequacy"/>
    <w:p>
      <w:pPr>
        <w:pStyle w:val="Heading3"/>
      </w:pPr>
      <w:r>
        <w:t xml:space="preserve">3.1 Sample Size Adequacy</w:t>
      </w:r>
    </w:p>
    <w:p>
      <w:pPr>
        <w:pStyle w:val="Compact"/>
        <w:numPr>
          <w:ilvl w:val="0"/>
          <w:numId w:val="1005"/>
        </w:numPr>
      </w:pPr>
      <w:r>
        <w:t xml:space="preserve">609 records split into 75% training (457 records) provides sufficient data for tree construction.</w:t>
      </w:r>
    </w:p>
    <w:p>
      <w:pPr>
        <w:pStyle w:val="Compact"/>
        <w:numPr>
          <w:ilvl w:val="0"/>
          <w:numId w:val="1005"/>
        </w:numPr>
      </w:pPr>
      <w:r>
        <w:t xml:space="preserve">Each tree in the forest uses bootstrap samples, increasing effective training diversity.</w:t>
      </w:r>
    </w:p>
    <w:bookmarkEnd w:id="26"/>
    <w:bookmarkStart w:id="27" w:name="feature-relevance"/>
    <w:p>
      <w:pPr>
        <w:pStyle w:val="Heading3"/>
      </w:pPr>
      <w:r>
        <w:t xml:space="preserve">3.2 Feature Relevance</w:t>
      </w:r>
    </w:p>
    <w:p>
      <w:pPr>
        <w:pStyle w:val="Compact"/>
        <w:numPr>
          <w:ilvl w:val="0"/>
          <w:numId w:val="1006"/>
        </w:numPr>
      </w:pPr>
      <w:r>
        <w:t xml:space="preserve">11 features provide adequate dimensionality for tree splits without causing high-dimensional issues.</w:t>
      </w:r>
    </w:p>
    <w:p>
      <w:pPr>
        <w:pStyle w:val="Compact"/>
        <w:numPr>
          <w:ilvl w:val="0"/>
          <w:numId w:val="1006"/>
        </w:numPr>
      </w:pPr>
      <w:r>
        <w:t xml:space="preserve">Default mtry parameter (sqrt of features) ensures sufficient feature diversity across trees.</w:t>
      </w:r>
    </w:p>
    <w:bookmarkEnd w:id="27"/>
    <w:bookmarkStart w:id="28" w:name="target-variable-properties"/>
    <w:p>
      <w:pPr>
        <w:pStyle w:val="Heading3"/>
      </w:pPr>
      <w:r>
        <w:t xml:space="preserve">3.3 Target Variable Properties</w:t>
      </w:r>
    </w:p>
    <w:p>
      <w:pPr>
        <w:pStyle w:val="Compact"/>
        <w:numPr>
          <w:ilvl w:val="0"/>
          <w:numId w:val="1007"/>
        </w:numPr>
      </w:pPr>
      <w:r>
        <w:t xml:space="preserve">Continuous target (value_log_scaled) is appropriate for regression Random Forest.</w:t>
      </w:r>
    </w:p>
    <w:p>
      <w:pPr>
        <w:pStyle w:val="Compact"/>
        <w:numPr>
          <w:ilvl w:val="0"/>
          <w:numId w:val="1007"/>
        </w:numPr>
      </w:pPr>
      <w:r>
        <w:t xml:space="preserve">Log-scaling addresses potential skewness in health outcome distributions.</w:t>
      </w:r>
    </w:p>
    <w:bookmarkEnd w:id="28"/>
    <w:bookmarkEnd w:id="29"/>
    <w:bookmarkStart w:id="33" w:name="why-random-forest-over-alternatives"/>
    <w:p>
      <w:pPr>
        <w:pStyle w:val="Heading2"/>
      </w:pPr>
      <w:r>
        <w:t xml:space="preserve">4. Why Random Forest Over Alternatives</w:t>
      </w:r>
    </w:p>
    <w:bookmarkStart w:id="30" w:name="vs.-multiple-linear-regression"/>
    <w:p>
      <w:pPr>
        <w:pStyle w:val="Heading3"/>
      </w:pPr>
      <w:r>
        <w:t xml:space="preserve">4.1 vs. Multiple Linear Regression</w:t>
      </w:r>
    </w:p>
    <w:p>
      <w:pPr>
        <w:pStyle w:val="Compact"/>
        <w:numPr>
          <w:ilvl w:val="0"/>
          <w:numId w:val="1008"/>
        </w:numPr>
      </w:pPr>
      <w:r>
        <w:t xml:space="preserve">Linear regression assumes linear relationships and normally distributed residuals.</w:t>
      </w:r>
    </w:p>
    <w:p>
      <w:pPr>
        <w:pStyle w:val="Compact"/>
        <w:numPr>
          <w:ilvl w:val="0"/>
          <w:numId w:val="1008"/>
        </w:numPr>
      </w:pPr>
      <w:r>
        <w:t xml:space="preserve">Health outcomes often exhibit non-linear patterns (e.g., threshold effects in immunization coverage).</w:t>
      </w:r>
    </w:p>
    <w:p>
      <w:pPr>
        <w:pStyle w:val="Compact"/>
        <w:numPr>
          <w:ilvl w:val="0"/>
          <w:numId w:val="1008"/>
        </w:numPr>
      </w:pPr>
      <w:r>
        <w:t xml:space="preserve">Random Forest captures complex interactions without manual feature engineering.</w:t>
      </w:r>
    </w:p>
    <w:bookmarkEnd w:id="30"/>
    <w:bookmarkStart w:id="31" w:name="vs.-xgboost"/>
    <w:p>
      <w:pPr>
        <w:pStyle w:val="Heading3"/>
      </w:pPr>
      <w:r>
        <w:t xml:space="preserve">4.2 vs. XGBoost</w:t>
      </w:r>
    </w:p>
    <w:p>
      <w:pPr>
        <w:pStyle w:val="Compact"/>
        <w:numPr>
          <w:ilvl w:val="0"/>
          <w:numId w:val="1009"/>
        </w:numPr>
      </w:pPr>
      <w:r>
        <w:t xml:space="preserve">XGBoost requires careful hyperparameter tuning and is more prone to overfitting on small datasets.</w:t>
      </w:r>
    </w:p>
    <w:p>
      <w:pPr>
        <w:pStyle w:val="Compact"/>
        <w:numPr>
          <w:ilvl w:val="0"/>
          <w:numId w:val="1009"/>
        </w:numPr>
      </w:pPr>
      <w:r>
        <w:t xml:space="preserve">Random Forest provides more stable results with default parameters.</w:t>
      </w:r>
    </w:p>
    <w:p>
      <w:pPr>
        <w:pStyle w:val="Compact"/>
        <w:numPr>
          <w:ilvl w:val="0"/>
          <w:numId w:val="1009"/>
        </w:numPr>
      </w:pPr>
      <w:r>
        <w:t xml:space="preserve">Lower computational complexity for this dataset size.</w:t>
      </w:r>
    </w:p>
    <w:bookmarkEnd w:id="31"/>
    <w:bookmarkStart w:id="32" w:name="vs.-neural-networks"/>
    <w:p>
      <w:pPr>
        <w:pStyle w:val="Heading3"/>
      </w:pPr>
      <w:r>
        <w:t xml:space="preserve">4.3 vs. Neural Networks</w:t>
      </w:r>
    </w:p>
    <w:p>
      <w:pPr>
        <w:pStyle w:val="Compact"/>
        <w:numPr>
          <w:ilvl w:val="0"/>
          <w:numId w:val="1010"/>
        </w:numPr>
      </w:pPr>
      <w:r>
        <w:t xml:space="preserve">Neural networks require larger datasets (typically 10,000+ records) for reliable performance.</w:t>
      </w:r>
    </w:p>
    <w:p>
      <w:pPr>
        <w:pStyle w:val="Compact"/>
        <w:numPr>
          <w:ilvl w:val="0"/>
          <w:numId w:val="1010"/>
        </w:numPr>
      </w:pPr>
      <w:r>
        <w:t xml:space="preserve">Lack of interpretability conflicts with health policy requirements.</w:t>
      </w:r>
    </w:p>
    <w:p>
      <w:pPr>
        <w:pStyle w:val="Compact"/>
        <w:numPr>
          <w:ilvl w:val="0"/>
          <w:numId w:val="1010"/>
        </w:numPr>
      </w:pPr>
      <w:r>
        <w:t xml:space="preserve">Random Forest provides better performance with limited data.</w:t>
      </w:r>
    </w:p>
    <w:bookmarkEnd w:id="32"/>
    <w:bookmarkEnd w:id="33"/>
    <w:bookmarkStart w:id="34" w:name="supporting-models"/>
    <w:p>
      <w:pPr>
        <w:pStyle w:val="Heading2"/>
      </w:pPr>
      <w:r>
        <w:t xml:space="preserve">5. Supporting Models</w:t>
      </w:r>
    </w:p>
    <w:p>
      <w:pPr>
        <w:pStyle w:val="FirstParagraph"/>
      </w:pPr>
      <w:r>
        <w:t xml:space="preserve">While Random Forest was selected as the primary model, two supporting models were implemented for comparison and deployment fallback: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Multiple Linear Regression:</w:t>
      </w:r>
      <w:r>
        <w:t xml:space="preserve"> </w:t>
      </w:r>
      <w:r>
        <w:t xml:space="preserve">Baseline model providing interpretable coefficients and deployment simplicity.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XGBoost:</w:t>
      </w:r>
      <w:r>
        <w:t xml:space="preserve"> </w:t>
      </w:r>
      <w:r>
        <w:t xml:space="preserve">High-performance alternative for scenarios requiring maximum predictive accuracy.</w:t>
      </w:r>
    </w:p>
    <w:p>
      <w:pPr>
        <w:pStyle w:val="FirstParagraph"/>
      </w:pPr>
      <w:r>
        <w:t xml:space="preserve">These models were built but are not documented in milestone tasks, serving as background validation of the Random Forest selection.</w:t>
      </w:r>
    </w:p>
    <w:bookmarkEnd w:id="34"/>
    <w:bookmarkStart w:id="35" w:name="summary"/>
    <w:p>
      <w:pPr>
        <w:pStyle w:val="Heading2"/>
      </w:pPr>
      <w:r>
        <w:t xml:space="preserve">6. Summary</w:t>
      </w:r>
    </w:p>
    <w:p>
      <w:pPr>
        <w:pStyle w:val="FirstParagraph"/>
      </w:pPr>
      <w:r>
        <w:t xml:space="preserve">Random Forest Regression was chosen because it:</w:t>
      </w:r>
      <w:r>
        <w:t xml:space="preserve"> </w:t>
      </w:r>
      <w:r>
        <w:t xml:space="preserve">1. Handles the 609-record dataset effectively without overfitting</w:t>
      </w:r>
      <w:r>
        <w:t xml:space="preserve"> </w:t>
      </w:r>
      <w:r>
        <w:t xml:space="preserve">2. Manages mixed categorical/numerical features without extensive preprocessing</w:t>
      </w:r>
      <w:r>
        <w:t xml:space="preserve"> </w:t>
      </w:r>
      <w:r>
        <w:t xml:space="preserve">3. Provides interpretable variable importance for health policy decisions</w:t>
      </w:r>
      <w:r>
        <w:t xml:space="preserve"> </w:t>
      </w:r>
      <w:r>
        <w:t xml:space="preserve">4. Makes no restrictive assumptions about data distributions</w:t>
      </w:r>
      <w:r>
        <w:t xml:space="preserve"> </w:t>
      </w:r>
      <w:r>
        <w:t xml:space="preserve">5. Offers built-in validation through OOB error estimation</w:t>
      </w:r>
    </w:p>
    <w:p>
      <w:pPr>
        <w:pStyle w:val="BodyText"/>
      </w:pPr>
      <w:r>
        <w:t xml:space="preserve">This selection aligns with the project’s dual objectives: achieving strong predictive performance while maintaining interpretability for health domain stakeholders.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2025-10-03T15:00:38Z</dcterms:created>
  <dcterms:modified xsi:type="dcterms:W3CDTF">2025-10-03T15:00:38Z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