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Milestone 3 – Task 4: Random Forest Assessment</w:t>
      </w:r>
    </w:p>
    <w:p>
      <w:pPr>
        <w:pStyle w:val="Author"/>
      </w:pPr>
      <w:r>
        <w:t xml:space="preserve">Llewellyn Fourie</w:t>
      </w:r>
    </w:p>
    <w:p>
      <w:pPr>
        <w:pStyle w:val="Date"/>
      </w:pPr>
      <w:r>
        <w:t xml:space="preserve">2025-10-01</w:t>
      </w:r>
    </w:p>
    <w:bookmarkStart w:id="20" w:name="load-data-and-model"/>
    <w:p>
      <w:pPr>
        <w:pStyle w:val="Heading1"/>
      </w:pPr>
      <w:r>
        <w:t xml:space="preserve">1. Load Data and Model</w:t>
      </w:r>
    </w:p>
    <w:p>
      <w:pPr>
        <w:pStyle w:val="FirstParagraph"/>
      </w:pPr>
      <w:r>
        <w:t xml:space="preserve">This section loads the training, testing, and validation data, along with the final Random Forest model.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value_log_scaled ~ ., data = train_data,      ntree = optimal_ntree, mtry = optimal_mtry, nodesize = optimal_nodesize,      importance = TRUE, keep.forest = TRUE)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750</w:t>
      </w:r>
      <w:r>
        <w:br/>
      </w:r>
      <w:r>
        <w:rPr>
          <w:rStyle w:val="VerbatimChar"/>
        </w:rPr>
        <w:t xml:space="preserve">## No. of variables tried at each split: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0.004920399</w:t>
      </w:r>
      <w:r>
        <w:br/>
      </w:r>
      <w:r>
        <w:rPr>
          <w:rStyle w:val="VerbatimChar"/>
        </w:rPr>
        <w:t xml:space="preserve">##                     % Var explained: 99.52</w:t>
      </w:r>
    </w:p>
    <w:bookmarkEnd w:id="20"/>
    <w:bookmarkStart w:id="21" w:name="performance-metrics"/>
    <w:p>
      <w:pPr>
        <w:pStyle w:val="Heading1"/>
      </w:pPr>
      <w:r>
        <w:t xml:space="preserve">2. Performance Metrics</w:t>
      </w:r>
    </w:p>
    <w:p>
      <w:pPr>
        <w:pStyle w:val="FirstParagraph"/>
      </w:pPr>
      <w:r>
        <w:t xml:space="preserve">The model was evaluated on both the test and validation sets.</w:t>
      </w:r>
      <w:r>
        <w:br/>
      </w:r>
      <w:r>
        <w:t xml:space="preserve">The table below reports RMSE, MAE, and R² for each split.</w:t>
      </w:r>
    </w:p>
    <w:p>
      <w:pPr>
        <w:pStyle w:val="BodyText"/>
      </w:pPr>
      <w:r>
        <w:rPr>
          <w:b/>
          <w:bCs/>
        </w:rPr>
        <w:t xml:space="preserve">Analysis:</w:t>
      </w:r>
      <w:r>
        <w:br/>
      </w:r>
      <w:r>
        <w:t xml:space="preserve">- The Random Forest achieved</w:t>
      </w:r>
      <w:r>
        <w:t xml:space="preserve"> </w:t>
      </w:r>
      <w:r>
        <w:rPr>
          <w:b/>
          <w:bCs/>
        </w:rPr>
        <w:t xml:space="preserve">very low RMSE and MAE</w:t>
      </w:r>
      <w:r>
        <w:t xml:space="preserve"> </w:t>
      </w:r>
      <w:r>
        <w:t xml:space="preserve">on both test and validation sets, meaning predictions are close to actual values.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R² &gt; 0.99</w:t>
      </w:r>
      <w:r>
        <w:t xml:space="preserve"> </w:t>
      </w:r>
      <w:r>
        <w:t xml:space="preserve">indicates the model explains almost all variance.</w:t>
      </w:r>
      <w:r>
        <w:br/>
      </w:r>
      <w:r>
        <w:t xml:space="preserve">- The slight performance drop on the validation set shows generalization is strong.</w:t>
      </w:r>
    </w:p>
    <w:bookmarkEnd w:id="21"/>
    <w:bookmarkStart w:id="38" w:name="diagnostics-plots"/>
    <w:p>
      <w:pPr>
        <w:pStyle w:val="Heading1"/>
      </w:pPr>
      <w:r>
        <w:t xml:space="preserve">3. Diagnostics &amp; Plots</w:t>
      </w:r>
    </w:p>
    <w:bookmarkStart w:id="25" w:name="oob-error-convergence"/>
    <w:p>
      <w:pPr>
        <w:pStyle w:val="Heading2"/>
      </w:pPr>
      <w:r>
        <w:t xml:space="preserve">3.1 OOB Error Convergence</w:t>
      </w:r>
    </w:p>
    <w:p>
      <w:pPr>
        <w:pStyle w:val="FirstParagraph"/>
      </w:pPr>
      <w:r>
        <w:t xml:space="preserve">The following plot shows how the Out-of-Bag (OOB) error decreases and stabilizes as the number of trees increases.</w:t>
      </w:r>
    </w:p>
    <w:p>
      <w:pPr>
        <w:pStyle w:val="BodyText"/>
      </w:pPr>
      <w:r>
        <w:drawing>
          <wp:inline>
            <wp:extent cx="5334000" cy="380999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ask_04_files/figure-docx/oob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Analysis:</w:t>
      </w:r>
      <w:r>
        <w:br/>
      </w:r>
      <w:r>
        <w:t xml:space="preserve">The OOB error curve plateaus after ~500 trees, showing the forest is stable and adding more trees gives little benefit.</w:t>
      </w:r>
    </w:p>
    <w:bookmarkEnd w:id="25"/>
    <w:bookmarkStart w:id="29" w:name="variable-importance"/>
    <w:p>
      <w:pPr>
        <w:pStyle w:val="Heading2"/>
      </w:pPr>
      <w:r>
        <w:t xml:space="preserve">3.2 Variable Importance</w:t>
      </w:r>
    </w:p>
    <w:p>
      <w:pPr>
        <w:pStyle w:val="FirstParagraph"/>
      </w:pPr>
      <w:r>
        <w:t xml:space="preserve">The following plot shows the top predictors ranked by importance in the Random Forest model.</w:t>
      </w:r>
    </w:p>
    <w:p>
      <w:pPr>
        <w:pStyle w:val="BodyText"/>
      </w:pPr>
      <w:r>
        <w:drawing>
          <wp:inline>
            <wp:extent cx="5334000" cy="380999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ask_04_files/figure-docx/importanc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Analysis:</w:t>
      </w:r>
      <w:r>
        <w:br/>
      </w:r>
      <w:r>
        <w:t xml:space="preserve">- Top predictors included</w:t>
      </w:r>
      <w:r>
        <w:t xml:space="preserve"> </w:t>
      </w:r>
      <w:r>
        <w:rPr>
          <w:b/>
          <w:bCs/>
        </w:rPr>
        <w:t xml:space="preserve">healthcare access, water/sanitation, immunization indicators, and HIV-related variables</w:t>
      </w:r>
      <w:r>
        <w:t xml:space="preserve">.</w:t>
      </w:r>
      <w:r>
        <w:br/>
      </w:r>
      <w:r>
        <w:t xml:space="preserve">- These align with known drivers of health outcomes in South Africa.</w:t>
      </w:r>
      <w:r>
        <w:br/>
      </w:r>
      <w:r>
        <w:t xml:space="preserve">- The importance ranking suggests where policy should prioritize interventions.</w:t>
      </w:r>
    </w:p>
    <w:bookmarkEnd w:id="29"/>
    <w:bookmarkStart w:id="33" w:name="predicted-vs-actual-test-set"/>
    <w:p>
      <w:pPr>
        <w:pStyle w:val="Heading2"/>
      </w:pPr>
      <w:r>
        <w:t xml:space="preserve">3.3 Predicted vs Actual (Test Set)</w:t>
      </w:r>
    </w:p>
    <w:p>
      <w:pPr>
        <w:pStyle w:val="FirstParagraph"/>
      </w:pPr>
      <w:r>
        <w:t xml:space="preserve">The following plot compares the predicted and actual values for the test set.</w:t>
      </w:r>
      <w:r>
        <w:br/>
      </w:r>
      <w:r>
        <w:t xml:space="preserve">A dashed blue line (y = x) indicates perfect prediction alignment.</w:t>
      </w:r>
    </w:p>
    <w:p>
      <w:pPr>
        <w:pStyle w:val="BodyText"/>
      </w:pPr>
      <w:r>
        <w:drawing>
          <wp:inline>
            <wp:extent cx="5334000" cy="380999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ask_04_files/figure-docx/pred-vs-actual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Analysis:</w:t>
      </w:r>
      <w:r>
        <w:br/>
      </w:r>
      <w:r>
        <w:t xml:space="preserve">Predicted and actual values align almost perfectly along the diagonal. This confirms the model is highly accurate, with negligible bias.</w:t>
      </w:r>
    </w:p>
    <w:bookmarkEnd w:id="33"/>
    <w:bookmarkStart w:id="37" w:name="residual-analysis"/>
    <w:p>
      <w:pPr>
        <w:pStyle w:val="Heading2"/>
      </w:pPr>
      <w:r>
        <w:t xml:space="preserve">3.4 Residual Analysis</w:t>
      </w:r>
    </w:p>
    <w:p>
      <w:pPr>
        <w:pStyle w:val="FirstParagraph"/>
      </w:pPr>
      <w:r>
        <w:t xml:space="preserve">The following plots show residual diagnostics for the test set:</w:t>
      </w:r>
      <w:r>
        <w:br/>
      </w:r>
      <w:r>
        <w:t xml:space="preserve">- Residuals vs Predicted values (left)</w:t>
      </w:r>
      <w:r>
        <w:br/>
      </w:r>
      <w:r>
        <w:t xml:space="preserve">- Histogram of residuals (right)</w:t>
      </w:r>
    </w:p>
    <w:p>
      <w:pPr>
        <w:pStyle w:val="BodyText"/>
      </w:pPr>
      <w:r>
        <w:drawing>
          <wp:inline>
            <wp:extent cx="5334000" cy="3809999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ask_04_files/figure-docx/residuals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Analysis:</w:t>
      </w:r>
      <w:r>
        <w:br/>
      </w:r>
      <w:r>
        <w:t xml:space="preserve">Residuals are tightly clustered around 0, showing the model has no systematic bias. Only minor outliers exist, which is expected for survey data.</w:t>
      </w:r>
    </w:p>
    <w:bookmarkEnd w:id="37"/>
    <w:bookmarkEnd w:id="38"/>
    <w:bookmarkStart w:id="39" w:name="health-domain-interpretation"/>
    <w:p>
      <w:pPr>
        <w:pStyle w:val="Heading1"/>
      </w:pPr>
      <w:r>
        <w:t xml:space="preserve">4. Health Domain Interpretation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Clean water and healthcare access</w:t>
      </w:r>
      <w:r>
        <w:t xml:space="preserve"> </w:t>
      </w:r>
      <w:r>
        <w:t xml:space="preserve">strongly predicted better outcomes, showing the importance of infrastructure and service availability.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Immunization rates</w:t>
      </w:r>
      <w:r>
        <w:t xml:space="preserve"> </w:t>
      </w:r>
      <w:r>
        <w:t xml:space="preserve">are critical predictors, aligning with known public health interventions.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HIV indicators</w:t>
      </w:r>
      <w:r>
        <w:t xml:space="preserve"> </w:t>
      </w:r>
      <w:r>
        <w:t xml:space="preserve">remain significant, consistent with South Africa’s epidemiological profile.</w:t>
      </w:r>
    </w:p>
    <w:bookmarkEnd w:id="39"/>
    <w:bookmarkStart w:id="40" w:name="limitations-and-recommendations"/>
    <w:p>
      <w:pPr>
        <w:pStyle w:val="Heading1"/>
      </w:pPr>
      <w:r>
        <w:t xml:space="preserve">5. Limitations and Recommendations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Limitations:</w:t>
      </w:r>
      <w:r>
        <w:t xml:space="preserve"> </w:t>
      </w:r>
      <w:r>
        <w:t xml:space="preserve">Small dataset (609 records), potential survey bias, and Random Forest’s black-box nature reduce interpretability.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Recommendations:</w:t>
      </w:r>
    </w:p>
    <w:p>
      <w:pPr>
        <w:pStyle w:val="Compact"/>
        <w:numPr>
          <w:ilvl w:val="1"/>
          <w:numId w:val="1003"/>
        </w:numPr>
      </w:pPr>
      <w:r>
        <w:t xml:space="preserve">Complement Random Forest with interpretable models (e.g., SHAP).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Collect larger and more recent datasets to confirm findings.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Use results as decision-support, not deterministic policy tools.</w:t>
      </w:r>
    </w:p>
    <w:bookmarkEnd w:id="40"/>
    <w:bookmarkStart w:id="41" w:name="conclusion"/>
    <w:p>
      <w:pPr>
        <w:pStyle w:val="Heading1"/>
      </w:pPr>
      <w:r>
        <w:t xml:space="preserve">6. Conclusion</w:t>
      </w:r>
    </w:p>
    <w:p>
      <w:pPr>
        <w:pStyle w:val="FirstParagraph"/>
      </w:pPr>
      <w:r>
        <w:t xml:space="preserve">The Random Forest model demonstrated strong predictive power with stable diagnostics.</w:t>
      </w:r>
      <w:r>
        <w:br/>
      </w:r>
      <w:r>
        <w:t xml:space="preserve">The health domain insights align with known risk factors, reinforcing the reliability of the model for policy guidance, while highlighting areas for future data and methodological improvement.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3 – Task 4: Random Forest Assessment</dc:title>
  <dc:creator>Llewellyn Fourie</dc:creator>
  <cp:keywords/>
  <dcterms:created xsi:type="dcterms:W3CDTF">2025-10-01T15:53:37Z</dcterms:created>
  <dcterms:modified xsi:type="dcterms:W3CDTF">2025-10-01T15:53:37Z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2025-10-01</vt:lpwstr>
  </property>
  <property fmtid="{D5CDD505-2E9C-101B-9397-08002B2CF9AE}" pid="3" name="fontsize">
    <vt:lpwstr>11pt</vt:lpwstr>
  </property>
  <property fmtid="{D5CDD505-2E9C-101B-9397-08002B2CF9AE}" pid="4" name="geometry">
    <vt:lpwstr>margin=1in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