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0A120" w14:textId="77777777" w:rsidR="004B0DB0" w:rsidRDefault="00000000">
      <w:pPr>
        <w:pStyle w:val="Title"/>
      </w:pPr>
      <w:r>
        <w:t>Milestone 3 – Task 4: Random Forest Assessment</w:t>
      </w:r>
    </w:p>
    <w:p w14:paraId="370226BC" w14:textId="77777777" w:rsidR="004B0DB0" w:rsidRDefault="00000000">
      <w:pPr>
        <w:pStyle w:val="Author"/>
      </w:pPr>
      <w:r>
        <w:t>Llewellyn Fourie</w:t>
      </w:r>
    </w:p>
    <w:p w14:paraId="6894D987" w14:textId="77777777" w:rsidR="004B0DB0" w:rsidRDefault="00000000">
      <w:pPr>
        <w:pStyle w:val="Date"/>
      </w:pPr>
      <w:r>
        <w:t>2025-10-02</w:t>
      </w:r>
    </w:p>
    <w:p w14:paraId="316A0B14" w14:textId="77777777" w:rsidR="004B0DB0" w:rsidRDefault="00000000">
      <w:pPr>
        <w:pStyle w:val="Heading1"/>
      </w:pPr>
      <w:bookmarkStart w:id="0" w:name="load-data-and-model"/>
      <w:r>
        <w:t>1. Load Data and Model</w:t>
      </w:r>
    </w:p>
    <w:p w14:paraId="4C37BB7B" w14:textId="77777777" w:rsidR="004B0DB0" w:rsidRDefault="00000000">
      <w:pPr>
        <w:pStyle w:val="FirstParagraph"/>
      </w:pPr>
      <w:r>
        <w:t xml:space="preserve">We worked with the cleaned dataset of </w:t>
      </w:r>
      <w:r>
        <w:rPr>
          <w:b/>
          <w:bCs/>
        </w:rPr>
        <w:t>609 records</w:t>
      </w:r>
      <w:r>
        <w:t>, stratified into a 75% training set, 20% test set, and 5% validation set.</w:t>
      </w:r>
      <w:r>
        <w:br/>
        <w:t>The final Random Forest model was trained using tuned parameters (</w:t>
      </w:r>
      <w:r>
        <w:rPr>
          <w:rStyle w:val="VerbatimChar"/>
        </w:rPr>
        <w:t>ntree</w:t>
      </w:r>
      <w:r>
        <w:t xml:space="preserve">, </w:t>
      </w:r>
      <w:r>
        <w:rPr>
          <w:rStyle w:val="VerbatimChar"/>
        </w:rPr>
        <w:t>mtry</w:t>
      </w:r>
      <w:r>
        <w:t xml:space="preserve">, </w:t>
      </w:r>
      <w:r>
        <w:rPr>
          <w:rStyle w:val="VerbatimChar"/>
        </w:rPr>
        <w:t>nodesize</w:t>
      </w:r>
      <w:r>
        <w:t xml:space="preserve">) and saved as an </w:t>
      </w:r>
      <w:r>
        <w:rPr>
          <w:rStyle w:val="VerbatimChar"/>
        </w:rPr>
        <w:t>.rds</w:t>
      </w:r>
      <w:r>
        <w:t xml:space="preserve"> file.</w:t>
      </w:r>
    </w:p>
    <w:p w14:paraId="112046E3" w14:textId="77777777" w:rsidR="004B0DB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value_log_scaled ~ ., data = train_data,      ntree = optimal_ntree, mtry = optimal_mtry, nodesize = optimal_nodesize,      importance = TRUE, keep.forest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750</w:t>
      </w:r>
      <w:r>
        <w:br/>
      </w:r>
      <w:r>
        <w:rPr>
          <w:rStyle w:val="VerbatimChar"/>
        </w:rPr>
        <w:t>## No. of variables tried at each split: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0.004920399</w:t>
      </w:r>
      <w:r>
        <w:br/>
      </w:r>
      <w:r>
        <w:rPr>
          <w:rStyle w:val="VerbatimChar"/>
        </w:rPr>
        <w:t>##                     % Var explained: 99.52</w:t>
      </w:r>
    </w:p>
    <w:p w14:paraId="1E4C26D8" w14:textId="024054FA" w:rsidR="004B0DB0" w:rsidRDefault="004B0DB0"/>
    <w:p w14:paraId="6A7ADEAB" w14:textId="77777777" w:rsidR="004B0DB0" w:rsidRDefault="00000000">
      <w:pPr>
        <w:pStyle w:val="Heading1"/>
      </w:pPr>
      <w:bookmarkStart w:id="1" w:name="performance-metrics"/>
      <w:bookmarkEnd w:id="0"/>
      <w:r>
        <w:t>2. Performance Metrics</w:t>
      </w:r>
    </w:p>
    <w:p w14:paraId="06BD3ACA" w14:textId="77777777" w:rsidR="004B0DB0" w:rsidRDefault="00000000">
      <w:pPr>
        <w:pStyle w:val="FirstParagraph"/>
      </w:pPr>
      <w:r>
        <w:t>The model was tested on the hold-out sets. The table reports error values (RMSE, MAE) and variance explained (R²).</w:t>
      </w:r>
    </w:p>
    <w:p w14:paraId="248503BE" w14:textId="77777777" w:rsidR="004B0DB0" w:rsidRDefault="00000000">
      <w:pPr>
        <w:pStyle w:val="TableCaption"/>
      </w:pPr>
      <w:r>
        <w:t>Model Performance Metrics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66"/>
        <w:gridCol w:w="926"/>
        <w:gridCol w:w="926"/>
        <w:gridCol w:w="926"/>
      </w:tblGrid>
      <w:tr w:rsidR="004B0DB0" w14:paraId="4015BE91" w14:textId="77777777" w:rsidTr="004B0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ED57E2" w14:textId="77777777" w:rsidR="004B0DB0" w:rsidRDefault="00000000">
            <w:pPr>
              <w:pStyle w:val="Compact"/>
            </w:pPr>
            <w:r>
              <w:t>Split</w:t>
            </w:r>
          </w:p>
        </w:tc>
        <w:tc>
          <w:tcPr>
            <w:tcW w:w="0" w:type="auto"/>
          </w:tcPr>
          <w:p w14:paraId="355133FF" w14:textId="77777777" w:rsidR="004B0DB0" w:rsidRDefault="00000000">
            <w:pPr>
              <w:pStyle w:val="Compact"/>
              <w:jc w:val="right"/>
            </w:pPr>
            <w:r>
              <w:t>RMSE</w:t>
            </w:r>
          </w:p>
        </w:tc>
        <w:tc>
          <w:tcPr>
            <w:tcW w:w="0" w:type="auto"/>
          </w:tcPr>
          <w:p w14:paraId="07448EA3" w14:textId="77777777" w:rsidR="004B0DB0" w:rsidRDefault="00000000">
            <w:pPr>
              <w:pStyle w:val="Compact"/>
              <w:jc w:val="right"/>
            </w:pPr>
            <w:r>
              <w:t>MAE</w:t>
            </w:r>
          </w:p>
        </w:tc>
        <w:tc>
          <w:tcPr>
            <w:tcW w:w="0" w:type="auto"/>
          </w:tcPr>
          <w:p w14:paraId="6C20C440" w14:textId="77777777" w:rsidR="004B0DB0" w:rsidRDefault="00000000">
            <w:pPr>
              <w:pStyle w:val="Compact"/>
              <w:jc w:val="right"/>
            </w:pPr>
            <w:r>
              <w:t>R2</w:t>
            </w:r>
          </w:p>
        </w:tc>
      </w:tr>
      <w:tr w:rsidR="004B0DB0" w14:paraId="51B662DB" w14:textId="77777777">
        <w:tc>
          <w:tcPr>
            <w:tcW w:w="0" w:type="auto"/>
          </w:tcPr>
          <w:p w14:paraId="1D3C8922" w14:textId="77777777" w:rsidR="004B0DB0" w:rsidRDefault="00000000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14:paraId="3665A9A1" w14:textId="77777777" w:rsidR="004B0DB0" w:rsidRDefault="00000000">
            <w:pPr>
              <w:pStyle w:val="Compact"/>
              <w:jc w:val="right"/>
            </w:pPr>
            <w:r>
              <w:t>0.0556</w:t>
            </w:r>
          </w:p>
        </w:tc>
        <w:tc>
          <w:tcPr>
            <w:tcW w:w="0" w:type="auto"/>
          </w:tcPr>
          <w:p w14:paraId="75295BE1" w14:textId="77777777" w:rsidR="004B0DB0" w:rsidRDefault="00000000">
            <w:pPr>
              <w:pStyle w:val="Compact"/>
              <w:jc w:val="right"/>
            </w:pPr>
            <w:r>
              <w:t>0.0382</w:t>
            </w:r>
          </w:p>
        </w:tc>
        <w:tc>
          <w:tcPr>
            <w:tcW w:w="0" w:type="auto"/>
          </w:tcPr>
          <w:p w14:paraId="4EB6B123" w14:textId="77777777" w:rsidR="004B0DB0" w:rsidRDefault="00000000">
            <w:pPr>
              <w:pStyle w:val="Compact"/>
              <w:jc w:val="right"/>
            </w:pPr>
            <w:r>
              <w:t>0.9967</w:t>
            </w:r>
          </w:p>
        </w:tc>
      </w:tr>
      <w:tr w:rsidR="004B0DB0" w14:paraId="5BEED8D5" w14:textId="77777777">
        <w:tc>
          <w:tcPr>
            <w:tcW w:w="0" w:type="auto"/>
          </w:tcPr>
          <w:p w14:paraId="5CFB4EE9" w14:textId="77777777" w:rsidR="004B0DB0" w:rsidRDefault="00000000">
            <w:pPr>
              <w:pStyle w:val="Compact"/>
            </w:pPr>
            <w:r>
              <w:t>Validation</w:t>
            </w:r>
          </w:p>
        </w:tc>
        <w:tc>
          <w:tcPr>
            <w:tcW w:w="0" w:type="auto"/>
          </w:tcPr>
          <w:p w14:paraId="300F3B4E" w14:textId="77777777" w:rsidR="004B0DB0" w:rsidRDefault="00000000">
            <w:pPr>
              <w:pStyle w:val="Compact"/>
              <w:jc w:val="right"/>
            </w:pPr>
            <w:r>
              <w:t>0.0750</w:t>
            </w:r>
          </w:p>
        </w:tc>
        <w:tc>
          <w:tcPr>
            <w:tcW w:w="0" w:type="auto"/>
          </w:tcPr>
          <w:p w14:paraId="5362E013" w14:textId="77777777" w:rsidR="004B0DB0" w:rsidRDefault="00000000">
            <w:pPr>
              <w:pStyle w:val="Compact"/>
              <w:jc w:val="right"/>
            </w:pPr>
            <w:r>
              <w:t>0.0453</w:t>
            </w:r>
          </w:p>
        </w:tc>
        <w:tc>
          <w:tcPr>
            <w:tcW w:w="0" w:type="auto"/>
          </w:tcPr>
          <w:p w14:paraId="133B1059" w14:textId="77777777" w:rsidR="004B0DB0" w:rsidRDefault="00000000">
            <w:pPr>
              <w:pStyle w:val="Compact"/>
              <w:jc w:val="right"/>
            </w:pPr>
            <w:r>
              <w:t>0.9933</w:t>
            </w:r>
          </w:p>
        </w:tc>
      </w:tr>
    </w:tbl>
    <w:p w14:paraId="75014D8D" w14:textId="77777777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- Errors on the test set were small (RMSE ≈ 0.056, MAE ≈ 0.038), and the validation set only slightly higher (RMSE ≈ 0.075, MAE ≈ 0.045).</w:t>
      </w:r>
      <w:r>
        <w:br/>
        <w:t>- The R² values (0.9967 test, 0.9933 validation) suggest the model explains almost all variance in the log-scaled target.</w:t>
      </w:r>
      <w:r>
        <w:br/>
      </w:r>
      <w:r>
        <w:lastRenderedPageBreak/>
        <w:t xml:space="preserve">- However, such values can be misleading: the dataset is small, and log-scaling compresses variance, inflating performance. A cautious reader should see this as </w:t>
      </w:r>
      <w:r>
        <w:rPr>
          <w:i/>
          <w:iCs/>
        </w:rPr>
        <w:t>model consistency within this dataset</w:t>
      </w:r>
      <w:r>
        <w:t>, not a universal guarantee.</w:t>
      </w:r>
    </w:p>
    <w:p w14:paraId="4E0902D2" w14:textId="79089DE2" w:rsidR="004B0DB0" w:rsidRDefault="004B0DB0"/>
    <w:p w14:paraId="4ABE2202" w14:textId="77777777" w:rsidR="004B0DB0" w:rsidRDefault="00000000">
      <w:pPr>
        <w:pStyle w:val="Heading1"/>
      </w:pPr>
      <w:bookmarkStart w:id="2" w:name="diagnostics-plots"/>
      <w:bookmarkEnd w:id="1"/>
      <w:r>
        <w:t>3. Diagnostics &amp; Plots</w:t>
      </w:r>
    </w:p>
    <w:p w14:paraId="7B2B79E5" w14:textId="77777777" w:rsidR="004B0DB0" w:rsidRDefault="00000000">
      <w:pPr>
        <w:pStyle w:val="Heading2"/>
      </w:pPr>
      <w:bookmarkStart w:id="3" w:name="oob-error-convergence"/>
      <w:r>
        <w:t>3.1 OOB Error Convergence</w:t>
      </w:r>
    </w:p>
    <w:p w14:paraId="4DF037DB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60072BC0" wp14:editId="0E265CA3">
            <wp:extent cx="5334000" cy="3809999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ask_04_files/figure-docx/oob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BBB88" w14:textId="77777777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The OOB error decreased sharply in the first 100 trees and stabilised after ~500.</w:t>
      </w:r>
      <w:r>
        <w:br/>
        <w:t>This justifies the choice of 750 trees: the forest had stabilised, and additional trees only increased compute time.</w:t>
      </w:r>
    </w:p>
    <w:p w14:paraId="58760441" w14:textId="586DAADA" w:rsidR="004B0DB0" w:rsidRDefault="004B0DB0"/>
    <w:p w14:paraId="428E2620" w14:textId="77777777" w:rsidR="004B0DB0" w:rsidRDefault="00000000">
      <w:pPr>
        <w:pStyle w:val="Heading2"/>
      </w:pPr>
      <w:bookmarkStart w:id="4" w:name="variable-importance"/>
      <w:bookmarkEnd w:id="3"/>
      <w:r>
        <w:lastRenderedPageBreak/>
        <w:t>3.2 Variable Importance</w:t>
      </w:r>
    </w:p>
    <w:p w14:paraId="625984C5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10060A97" wp14:editId="52D10E02">
            <wp:extent cx="5334000" cy="380999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ask_04_files/figure-docx/importanc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77008" w14:textId="77777777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 xml:space="preserve">- </w:t>
      </w:r>
      <w:r>
        <w:rPr>
          <w:rStyle w:val="VerbatimChar"/>
        </w:rPr>
        <w:t>type_U</w:t>
      </w:r>
      <w:r>
        <w:t xml:space="preserve"> and </w:t>
      </w:r>
      <w:r>
        <w:rPr>
          <w:rStyle w:val="VerbatimChar"/>
        </w:rPr>
        <w:t>indicator_encoded</w:t>
      </w:r>
      <w:r>
        <w:t xml:space="preserve"> rank highest, reflecting the role of survey coding in shaping predictions.</w:t>
      </w:r>
      <w:r>
        <w:br/>
        <w:t xml:space="preserve">- </w:t>
      </w:r>
      <w:r>
        <w:rPr>
          <w:rStyle w:val="VerbatimChar"/>
        </w:rPr>
        <w:t>sample_size_tier</w:t>
      </w:r>
      <w:r>
        <w:t xml:space="preserve"> shows that smaller samples introduce more noise, which influenced the model.</w:t>
      </w:r>
      <w:r>
        <w:br/>
        <w:t>- True health indicators — water/sanitation, healthcare access, immunisation, and HIV-related indicators — also feature prominently.</w:t>
      </w:r>
      <w:r>
        <w:br/>
        <w:t xml:space="preserve">- A strict reading is that the model learned from both </w:t>
      </w:r>
      <w:r>
        <w:rPr>
          <w:b/>
          <w:bCs/>
        </w:rPr>
        <w:t>real health drivers</w:t>
      </w:r>
      <w:r>
        <w:t xml:space="preserve"> and </w:t>
      </w:r>
      <w:r>
        <w:rPr>
          <w:b/>
          <w:bCs/>
        </w:rPr>
        <w:t>technical artefacts</w:t>
      </w:r>
      <w:r>
        <w:t xml:space="preserve"> of survey design. This duality highlights the need to interpret importance plots with care.</w:t>
      </w:r>
    </w:p>
    <w:p w14:paraId="12A19D0E" w14:textId="400111A8" w:rsidR="004B0DB0" w:rsidRDefault="004B0DB0"/>
    <w:p w14:paraId="5D12D3C3" w14:textId="77777777" w:rsidR="004B0DB0" w:rsidRDefault="00000000">
      <w:pPr>
        <w:pStyle w:val="Heading2"/>
      </w:pPr>
      <w:bookmarkStart w:id="5" w:name="predicted-vs-actual-test-set"/>
      <w:bookmarkEnd w:id="4"/>
      <w:r>
        <w:lastRenderedPageBreak/>
        <w:t>3.3 Predicted vs Actual (Test Set)</w:t>
      </w:r>
    </w:p>
    <w:p w14:paraId="3652CA17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33186C10" wp14:editId="4AF67356">
            <wp:extent cx="5334000" cy="3809999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ask_04_files/figure-docx/pred-vs-actua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F9D90" w14:textId="77777777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Predicted values align almost perfectly with actual values.</w:t>
      </w:r>
      <w:r>
        <w:br/>
        <w:t xml:space="preserve">This confirms the model memorised relationships present in the dataset. But this is a </w:t>
      </w:r>
      <w:r>
        <w:rPr>
          <w:b/>
          <w:bCs/>
        </w:rPr>
        <w:t>red flag in practice</w:t>
      </w:r>
      <w:r>
        <w:t>: near-perfect alignment in a small dataset often means the test set was too similar to the training set. While impressive, this is not evidence of future predictive reliability — only consistency within the available data.</w:t>
      </w:r>
    </w:p>
    <w:p w14:paraId="54EC628C" w14:textId="040F4243" w:rsidR="004B0DB0" w:rsidRDefault="004B0DB0"/>
    <w:p w14:paraId="0B8D6868" w14:textId="77777777" w:rsidR="004B0DB0" w:rsidRDefault="00000000">
      <w:pPr>
        <w:pStyle w:val="Heading2"/>
      </w:pPr>
      <w:bookmarkStart w:id="6" w:name="residual-analysis"/>
      <w:bookmarkEnd w:id="5"/>
      <w:r>
        <w:lastRenderedPageBreak/>
        <w:t>3.4 Residual Analysis</w:t>
      </w:r>
    </w:p>
    <w:p w14:paraId="4AEB2590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5EB70421" wp14:editId="2E265782">
            <wp:extent cx="5334000" cy="3809999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Task_04_files/figure-docx/residual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CDF9A" w14:textId="77777777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Residuals are tightly centred around zero, but with a skewed tail.</w:t>
      </w:r>
      <w:r>
        <w:br/>
        <w:t>The scatterplot shows no major heteroskedasticity — errors are similar across prediction ranges.</w:t>
      </w:r>
      <w:r>
        <w:br/>
        <w:t>The skew suggests a few survey entries (possibly under-represented provinces or unusual health indicators) were harder to predict. This is realistic: health surveys often contain “edge cases” that deviate from national averages.</w:t>
      </w:r>
    </w:p>
    <w:p w14:paraId="1AEAEC11" w14:textId="3D8BF146" w:rsidR="004B0DB0" w:rsidRDefault="004B0DB0"/>
    <w:p w14:paraId="416F08D7" w14:textId="77777777" w:rsidR="004B0DB0" w:rsidRDefault="00000000">
      <w:pPr>
        <w:pStyle w:val="Heading1"/>
      </w:pPr>
      <w:bookmarkStart w:id="7" w:name="health-domain-interpretation"/>
      <w:bookmarkEnd w:id="2"/>
      <w:bookmarkEnd w:id="6"/>
      <w:r>
        <w:t>4. Health Domain Interpretation</w:t>
      </w:r>
    </w:p>
    <w:p w14:paraId="5BB2F094" w14:textId="77777777" w:rsidR="004B0DB0" w:rsidRDefault="00000000">
      <w:pPr>
        <w:pStyle w:val="FirstParagraph"/>
      </w:pPr>
      <w:r>
        <w:t>The model confirms known determinants of health outcomes in South Africa, while also exposing survey artefacts:</w:t>
      </w:r>
      <w:r>
        <w:br/>
        <w:t xml:space="preserve">- </w:t>
      </w:r>
      <w:r>
        <w:rPr>
          <w:b/>
          <w:bCs/>
        </w:rPr>
        <w:t>Water and sanitation</w:t>
      </w:r>
      <w:r>
        <w:t xml:space="preserve"> strongly predicted outcomes, highlighting infrastructure’s role in reducing disease burden.</w:t>
      </w:r>
      <w:r>
        <w:br/>
        <w:t xml:space="preserve">- </w:t>
      </w:r>
      <w:r>
        <w:rPr>
          <w:b/>
          <w:bCs/>
        </w:rPr>
        <w:t>Healthcare access</w:t>
      </w:r>
      <w:r>
        <w:t xml:space="preserve"> appeared consistently important, echoing provincial disparities in service delivery.</w:t>
      </w:r>
      <w:r>
        <w:br/>
        <w:t xml:space="preserve">- </w:t>
      </w:r>
      <w:r>
        <w:rPr>
          <w:b/>
          <w:bCs/>
        </w:rPr>
        <w:t>Immunisation indicators</w:t>
      </w:r>
      <w:r>
        <w:t xml:space="preserve"> explained a large share of variation, consistent with child mortality prevention strategies.</w:t>
      </w:r>
      <w:r>
        <w:br/>
        <w:t xml:space="preserve">- </w:t>
      </w:r>
      <w:r>
        <w:rPr>
          <w:b/>
          <w:bCs/>
        </w:rPr>
        <w:t>HIV behaviour and prevalence</w:t>
      </w:r>
      <w:r>
        <w:t xml:space="preserve"> remained relevant, aligning with the country’s ongoing </w:t>
      </w:r>
      <w:r>
        <w:lastRenderedPageBreak/>
        <w:t>epidemic profile.</w:t>
      </w:r>
      <w:r>
        <w:br/>
        <w:t xml:space="preserve">- </w:t>
      </w:r>
      <w:r>
        <w:rPr>
          <w:b/>
          <w:bCs/>
        </w:rPr>
        <w:t>Survey structure variables</w:t>
      </w:r>
      <w:r>
        <w:t xml:space="preserve"> (like </w:t>
      </w:r>
      <w:r>
        <w:rPr>
          <w:rStyle w:val="VerbatimChar"/>
        </w:rPr>
        <w:t>sample_size_tier</w:t>
      </w:r>
      <w:r>
        <w:t>) influenced results. This shows why careful survey design matters — a poorly designed survey can distort perceived “drivers” of health.</w:t>
      </w:r>
    </w:p>
    <w:p w14:paraId="7AC43AC0" w14:textId="5BEA2101" w:rsidR="004B0DB0" w:rsidRDefault="004B0DB0"/>
    <w:p w14:paraId="550EC18C" w14:textId="77777777" w:rsidR="004B0DB0" w:rsidRDefault="00000000">
      <w:pPr>
        <w:pStyle w:val="Heading1"/>
      </w:pPr>
      <w:bookmarkStart w:id="8" w:name="limitations-and-recommendations"/>
      <w:bookmarkEnd w:id="7"/>
      <w:r>
        <w:t>5. Limitations and Recommendations</w:t>
      </w:r>
    </w:p>
    <w:p w14:paraId="322403FB" w14:textId="77777777" w:rsidR="004B0DB0" w:rsidRDefault="00000000">
      <w:pPr>
        <w:pStyle w:val="Compact"/>
        <w:numPr>
          <w:ilvl w:val="0"/>
          <w:numId w:val="2"/>
        </w:numPr>
      </w:pPr>
      <w:r>
        <w:t xml:space="preserve">The dataset is </w:t>
      </w:r>
      <w:r>
        <w:rPr>
          <w:b/>
          <w:bCs/>
        </w:rPr>
        <w:t>small (609 records)</w:t>
      </w:r>
      <w:r>
        <w:t>, which inflates R² and makes metrics overly optimistic.</w:t>
      </w:r>
      <w:r>
        <w:br/>
      </w:r>
    </w:p>
    <w:p w14:paraId="2AB99225" w14:textId="77777777" w:rsidR="004B0DB0" w:rsidRDefault="00000000">
      <w:pPr>
        <w:pStyle w:val="Compact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log-scaling</w:t>
      </w:r>
      <w:r>
        <w:t xml:space="preserve"> of the target compresses variance, making predictions appear easier.</w:t>
      </w:r>
      <w:r>
        <w:br/>
      </w:r>
    </w:p>
    <w:p w14:paraId="2C2866BD" w14:textId="77777777" w:rsidR="004B0DB0" w:rsidRDefault="00000000">
      <w:pPr>
        <w:pStyle w:val="Compact"/>
        <w:numPr>
          <w:ilvl w:val="0"/>
          <w:numId w:val="2"/>
        </w:numPr>
      </w:pPr>
      <w:r>
        <w:t xml:space="preserve">Importance plots mix </w:t>
      </w:r>
      <w:r>
        <w:rPr>
          <w:b/>
          <w:bCs/>
        </w:rPr>
        <w:t>true health drivers</w:t>
      </w:r>
      <w:r>
        <w:t xml:space="preserve"> with </w:t>
      </w:r>
      <w:r>
        <w:rPr>
          <w:b/>
          <w:bCs/>
        </w:rPr>
        <w:t>survey artefacts</w:t>
      </w:r>
      <w:r>
        <w:t>, complicating interpretation.</w:t>
      </w:r>
    </w:p>
    <w:p w14:paraId="24FA3D93" w14:textId="77777777" w:rsidR="004B0DB0" w:rsidRDefault="00000000">
      <w:pPr>
        <w:pStyle w:val="FirstParagraph"/>
      </w:pPr>
      <w:r>
        <w:rPr>
          <w:b/>
          <w:bCs/>
        </w:rPr>
        <w:t>Recommendations:</w:t>
      </w:r>
      <w:r>
        <w:br/>
        <w:t>- Future work should use larger, more representative datasets.</w:t>
      </w:r>
      <w:r>
        <w:br/>
        <w:t>- Incorporate explainable ML (e.g., SHAP values) to distinguish genuine health signals from survey noise.</w:t>
      </w:r>
      <w:r>
        <w:br/>
        <w:t>- For policy, focus on variables that consistently emerge across different datasets: water, healthcare, and immunisation.</w:t>
      </w:r>
      <w:r>
        <w:br/>
        <w:t>- Avoid overconfidence in near-perfect metrics; treat them as signals for learning, not policy guarantees.</w:t>
      </w:r>
    </w:p>
    <w:p w14:paraId="2F18ECDF" w14:textId="3CB3E1CC" w:rsidR="004B0DB0" w:rsidRDefault="004B0DB0"/>
    <w:p w14:paraId="6A43F0E4" w14:textId="77777777" w:rsidR="004B0DB0" w:rsidRDefault="00000000">
      <w:pPr>
        <w:pStyle w:val="Heading1"/>
      </w:pPr>
      <w:bookmarkStart w:id="9" w:name="conclusion"/>
      <w:bookmarkEnd w:id="8"/>
      <w:r>
        <w:t>6. Conclusion</w:t>
      </w:r>
    </w:p>
    <w:p w14:paraId="4B7D386A" w14:textId="77777777" w:rsidR="004B0DB0" w:rsidRDefault="00000000">
      <w:pPr>
        <w:pStyle w:val="FirstParagraph"/>
      </w:pPr>
      <w:r>
        <w:t xml:space="preserve">Within CRISP-DM, this task completes the </w:t>
      </w:r>
      <w:r>
        <w:rPr>
          <w:b/>
          <w:bCs/>
        </w:rPr>
        <w:t>Assessment phase</w:t>
      </w:r>
      <w:r>
        <w:t>.</w:t>
      </w:r>
      <w:r>
        <w:br/>
        <w:t>The Random Forest achieved excellent internal performance, but that is not the same as real-world predictive power.</w:t>
      </w:r>
      <w:r>
        <w:br/>
        <w:t>The most important insights are:</w:t>
      </w:r>
      <w:r>
        <w:br/>
        <w:t>1. Survey structure shapes results nearly as much as health factors.</w:t>
      </w:r>
      <w:r>
        <w:br/>
        <w:t>2. Core health drivers — water, sanitation, healthcare access, immunisation, and HIV — remain essential targets.</w:t>
      </w:r>
      <w:r>
        <w:br/>
        <w:t>3. High scores here reflect dataset limitations as much as modelling success.</w:t>
      </w:r>
    </w:p>
    <w:p w14:paraId="1DEA0F54" w14:textId="77777777" w:rsidR="004B0DB0" w:rsidRDefault="00000000">
      <w:pPr>
        <w:pStyle w:val="BodyText"/>
      </w:pPr>
      <w:r>
        <w:rPr>
          <w:b/>
          <w:bCs/>
        </w:rPr>
        <w:t>Final Reflection:</w:t>
      </w:r>
      <w:r>
        <w:t xml:space="preserve"> The assessment highlights not just what the model learned, but also the boundaries of what it </w:t>
      </w:r>
      <w:r>
        <w:rPr>
          <w:i/>
          <w:iCs/>
        </w:rPr>
        <w:t>can</w:t>
      </w:r>
      <w:r>
        <w:t xml:space="preserve"> learn from limited data. For future work, improving </w:t>
      </w:r>
      <w:r>
        <w:rPr>
          <w:b/>
          <w:bCs/>
        </w:rPr>
        <w:t>data quality</w:t>
      </w:r>
      <w:r>
        <w:t xml:space="preserve"> is as important as improving </w:t>
      </w:r>
      <w:r>
        <w:rPr>
          <w:b/>
          <w:bCs/>
        </w:rPr>
        <w:t>modelling technique</w:t>
      </w:r>
      <w:r>
        <w:t>.</w:t>
      </w:r>
      <w:bookmarkEnd w:id="9"/>
    </w:p>
    <w:sectPr w:rsidR="004B0D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C4819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7B4C55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08943514">
    <w:abstractNumId w:val="0"/>
  </w:num>
  <w:num w:numId="2" w16cid:durableId="1354266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0DB0"/>
    <w:rsid w:val="004B0DB0"/>
    <w:rsid w:val="00CD1FC0"/>
    <w:rsid w:val="00E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497E"/>
  <w15:docId w15:val="{30F51BD1-F937-4B2F-8274-3244C555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793</Words>
  <Characters>4664</Characters>
  <Application>Microsoft Office Word</Application>
  <DocSecurity>0</DocSecurity>
  <Lines>137</Lines>
  <Paragraphs>48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3 – Task 4: Random Forest Assessment</dc:title>
  <dc:creator>Llewellyn Fourie</dc:creator>
  <cp:keywords/>
  <cp:lastModifiedBy>Llewellyn Jakobus Fourie</cp:lastModifiedBy>
  <cp:revision>2</cp:revision>
  <dcterms:created xsi:type="dcterms:W3CDTF">2025-10-02T07:07:00Z</dcterms:created>
  <dcterms:modified xsi:type="dcterms:W3CDTF">2025-10-02T07:10:00Z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  <property fmtid="{D5CDD505-2E9C-101B-9397-08002B2CF9AE}" pid="3" name="font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