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DB1CE" w14:textId="5E87805B" w:rsidR="00EE5440" w:rsidRPr="00FF4939" w:rsidRDefault="00FF4939" w:rsidP="00FF4939">
      <w:pPr>
        <w:pStyle w:val="Heading1"/>
      </w:pPr>
      <w:r w:rsidRPr="00FF4939">
        <w:t xml:space="preserve">Business </w:t>
      </w:r>
      <w:r w:rsidRPr="00121211">
        <w:rPr>
          <w:sz w:val="36"/>
          <w:szCs w:val="52"/>
        </w:rPr>
        <w:t>Understanding</w:t>
      </w:r>
    </w:p>
    <w:p w14:paraId="27EBCFC0" w14:textId="6768A27D" w:rsidR="00FF4939" w:rsidRDefault="00FF4939" w:rsidP="00121211">
      <w:pPr>
        <w:pStyle w:val="Heading2"/>
      </w:pPr>
      <w:r w:rsidRPr="00121211">
        <w:t>Background</w:t>
      </w:r>
    </w:p>
    <w:p w14:paraId="787C6D3B" w14:textId="7A27B2A1" w:rsidR="00FF4939" w:rsidRDefault="00FF4939" w:rsidP="00FF4939">
      <w:pPr>
        <w:rPr>
          <w:lang w:val="en-US"/>
        </w:rPr>
      </w:pPr>
      <w:r>
        <w:rPr>
          <w:lang w:val="en-US"/>
        </w:rPr>
        <w:t>South Africa face ongoing challenges related to health and living conditions, which include:</w:t>
      </w:r>
    </w:p>
    <w:p w14:paraId="7C248638" w14:textId="30EB93AC" w:rsidR="00FF4939" w:rsidRDefault="00FF4939" w:rsidP="00FF49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access to clean water and sanitation facilities.</w:t>
      </w:r>
    </w:p>
    <w:p w14:paraId="361C844A" w14:textId="73943DF8" w:rsidR="00FF4939" w:rsidRDefault="00FF4939" w:rsidP="00FF49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Unequal access to healthcare facilities across different provinces.</w:t>
      </w:r>
    </w:p>
    <w:p w14:paraId="1DD88BF3" w14:textId="10776F32" w:rsidR="00FF4939" w:rsidRDefault="00FF4939" w:rsidP="00FF49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High child and maternal mortality rates in disadvantaged communities.</w:t>
      </w:r>
    </w:p>
    <w:p w14:paraId="5F93B58E" w14:textId="3F4F9C74" w:rsidR="00FF4939" w:rsidRDefault="00FF4939" w:rsidP="00FF49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Gaps with both immunization coverage and HIV prevention </w:t>
      </w:r>
      <w:r w:rsidR="00121211">
        <w:rPr>
          <w:lang w:val="en-US"/>
        </w:rPr>
        <w:t>behavior</w:t>
      </w:r>
      <w:r>
        <w:rPr>
          <w:lang w:val="en-US"/>
        </w:rPr>
        <w:t>.</w:t>
      </w:r>
    </w:p>
    <w:p w14:paraId="5C2E6D92" w14:textId="0946D034" w:rsidR="00FF4939" w:rsidRDefault="00121211" w:rsidP="00FF49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Education and literacy levels influence healthcare awareness.</w:t>
      </w:r>
    </w:p>
    <w:p w14:paraId="532FC7C0" w14:textId="7E259EEA" w:rsidR="00121211" w:rsidRDefault="00121211" w:rsidP="00121211">
      <w:pPr>
        <w:rPr>
          <w:lang w:val="en-US"/>
        </w:rPr>
      </w:pPr>
      <w:r>
        <w:rPr>
          <w:lang w:val="en-US"/>
        </w:rPr>
        <w:t>The government and non-profit organizations need to improve public healthcare outcomes, but data-driven insights are needed to guide these interventions, allocate resources effectively and identify the high-risk areas.</w:t>
      </w:r>
    </w:p>
    <w:p w14:paraId="52F7F080" w14:textId="5342EB67" w:rsidR="00121211" w:rsidRPr="00121211" w:rsidRDefault="00121211" w:rsidP="00121211">
      <w:pPr>
        <w:pStyle w:val="Heading2"/>
      </w:pPr>
      <w:r w:rsidRPr="00121211">
        <w:t>Business Problem and Objectives</w:t>
      </w:r>
    </w:p>
    <w:p w14:paraId="244858BF" w14:textId="06817068" w:rsidR="00121211" w:rsidRDefault="00121211" w:rsidP="009706B3">
      <w:pPr>
        <w:spacing w:after="0" w:line="240" w:lineRule="auto"/>
        <w:rPr>
          <w:lang w:val="en-US"/>
        </w:rPr>
      </w:pPr>
      <w:r w:rsidRPr="00121211">
        <w:rPr>
          <w:b/>
          <w:bCs/>
          <w:lang w:val="en-US"/>
        </w:rPr>
        <w:t>Business Problem</w:t>
      </w:r>
      <w:r w:rsidRPr="00CA4444">
        <w:rPr>
          <w:b/>
          <w:bCs/>
          <w:lang w:val="en-US"/>
        </w:rPr>
        <w:t>:</w:t>
      </w:r>
    </w:p>
    <w:p w14:paraId="614DB89D" w14:textId="52F8B064" w:rsidR="00121211" w:rsidRDefault="00121211" w:rsidP="00121211">
      <w:pPr>
        <w:rPr>
          <w:lang w:val="en-US"/>
        </w:rPr>
      </w:pPr>
      <w:r>
        <w:rPr>
          <w:lang w:val="en-US"/>
        </w:rPr>
        <w:t xml:space="preserve">Despite numerous past interventions, </w:t>
      </w:r>
      <w:r w:rsidR="00CA4444">
        <w:rPr>
          <w:lang w:val="en-US"/>
        </w:rPr>
        <w:t>vulnerable populations in South Africa still experience poor healthcare outcomes due to systematic issues like sanitation, lack of clean water and healthcare access. Stakeholders require reliable, data-driven insights to understand the relationships between living conditions, healthcare access and healthcare risks.</w:t>
      </w:r>
    </w:p>
    <w:p w14:paraId="290304CE" w14:textId="73A3C487" w:rsidR="00CA4444" w:rsidRPr="00CA4444" w:rsidRDefault="00CA4444" w:rsidP="009706B3">
      <w:pPr>
        <w:spacing w:after="0" w:line="240" w:lineRule="auto"/>
        <w:rPr>
          <w:b/>
          <w:bCs/>
          <w:lang w:val="en-US"/>
        </w:rPr>
      </w:pPr>
      <w:r w:rsidRPr="00CA4444">
        <w:rPr>
          <w:b/>
          <w:bCs/>
          <w:lang w:val="en-US"/>
        </w:rPr>
        <w:t>Business Objectives:</w:t>
      </w:r>
    </w:p>
    <w:p w14:paraId="4FEC66FB" w14:textId="19B85AD8" w:rsidR="00CA4444" w:rsidRDefault="00CA4444" w:rsidP="00CA44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Provide actionable insights that stakeholders can use to target interventions more effectively.</w:t>
      </w:r>
    </w:p>
    <w:p w14:paraId="0D622F8E" w14:textId="77CB02AF" w:rsidR="00CA4444" w:rsidRDefault="00CA4444" w:rsidP="00CA44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Discover the key factors that are currently contributing to poor health outcomes, for example clean water, sanitation, literacy etc.</w:t>
      </w:r>
    </w:p>
    <w:p w14:paraId="3418C089" w14:textId="589F23BB" w:rsidR="00CA4444" w:rsidRDefault="00CA4444" w:rsidP="00CA44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Develop interactive dashboards and reports that make complex data easy to understand.</w:t>
      </w:r>
    </w:p>
    <w:p w14:paraId="234E1E48" w14:textId="64D16CD8" w:rsidR="00CA4444" w:rsidRDefault="00CA4444" w:rsidP="00CA44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Identify high-risk regions and communities based on demographic and health indicators.</w:t>
      </w:r>
    </w:p>
    <w:p w14:paraId="0B9DB9C0" w14:textId="77777777" w:rsidR="00CA4444" w:rsidRDefault="00CA4444" w:rsidP="00CA4444">
      <w:pPr>
        <w:rPr>
          <w:lang w:val="en-US"/>
        </w:rPr>
      </w:pPr>
    </w:p>
    <w:p w14:paraId="7489C556" w14:textId="77777777" w:rsidR="009706B3" w:rsidRPr="00CA4444" w:rsidRDefault="009706B3" w:rsidP="00CA4444">
      <w:pPr>
        <w:rPr>
          <w:lang w:val="en-US"/>
        </w:rPr>
      </w:pPr>
    </w:p>
    <w:p w14:paraId="230CFF2C" w14:textId="4C727943" w:rsidR="00CA4444" w:rsidRDefault="00CA4444" w:rsidP="00CA4444">
      <w:pPr>
        <w:pStyle w:val="Heading2"/>
      </w:pPr>
      <w:r>
        <w:lastRenderedPageBreak/>
        <w:t>Stakeholders and Their Requirements</w:t>
      </w:r>
    </w:p>
    <w:tbl>
      <w:tblPr>
        <w:tblStyle w:val="TableGrid"/>
        <w:tblW w:w="10633" w:type="dxa"/>
        <w:tblInd w:w="-856" w:type="dxa"/>
        <w:tblLook w:val="04A0" w:firstRow="1" w:lastRow="0" w:firstColumn="1" w:lastColumn="0" w:noHBand="0" w:noVBand="1"/>
      </w:tblPr>
      <w:tblGrid>
        <w:gridCol w:w="3828"/>
        <w:gridCol w:w="3544"/>
        <w:gridCol w:w="3261"/>
      </w:tblGrid>
      <w:tr w:rsidR="00CA4444" w:rsidRPr="00CA4444" w14:paraId="42D98949" w14:textId="77777777" w:rsidTr="00CA4444">
        <w:tc>
          <w:tcPr>
            <w:tcW w:w="3828" w:type="dxa"/>
          </w:tcPr>
          <w:p w14:paraId="430FAC4D" w14:textId="300CFA37" w:rsidR="00CA4444" w:rsidRPr="00CA4444" w:rsidRDefault="00CA4444" w:rsidP="00CA4444">
            <w:pPr>
              <w:jc w:val="center"/>
              <w:rPr>
                <w:b/>
                <w:bCs/>
                <w:lang w:val="en-US"/>
              </w:rPr>
            </w:pPr>
            <w:r w:rsidRPr="00CA4444">
              <w:rPr>
                <w:b/>
                <w:bCs/>
                <w:lang w:val="en-US"/>
              </w:rPr>
              <w:t>Stakeholder</w:t>
            </w:r>
          </w:p>
        </w:tc>
        <w:tc>
          <w:tcPr>
            <w:tcW w:w="3544" w:type="dxa"/>
          </w:tcPr>
          <w:p w14:paraId="4B51CC8E" w14:textId="0902E6C8" w:rsidR="00CA4444" w:rsidRPr="00CA4444" w:rsidRDefault="00CA4444" w:rsidP="00CA4444">
            <w:pPr>
              <w:jc w:val="center"/>
              <w:rPr>
                <w:b/>
                <w:bCs/>
                <w:lang w:val="en-US"/>
              </w:rPr>
            </w:pPr>
            <w:r w:rsidRPr="00CA4444">
              <w:rPr>
                <w:b/>
                <w:bCs/>
                <w:lang w:val="en-US"/>
              </w:rPr>
              <w:t>Requirements</w:t>
            </w:r>
          </w:p>
        </w:tc>
        <w:tc>
          <w:tcPr>
            <w:tcW w:w="3261" w:type="dxa"/>
          </w:tcPr>
          <w:p w14:paraId="1C214179" w14:textId="36EA15A4" w:rsidR="00CA4444" w:rsidRPr="00CA4444" w:rsidRDefault="00CA4444" w:rsidP="00CA4444">
            <w:pPr>
              <w:jc w:val="center"/>
              <w:rPr>
                <w:b/>
                <w:bCs/>
                <w:lang w:val="en-US"/>
              </w:rPr>
            </w:pPr>
            <w:r w:rsidRPr="00CA4444">
              <w:rPr>
                <w:b/>
                <w:bCs/>
                <w:lang w:val="en-US"/>
              </w:rPr>
              <w:t>Example KPI</w:t>
            </w:r>
          </w:p>
        </w:tc>
      </w:tr>
      <w:tr w:rsidR="00CA4444" w14:paraId="03E5FBDE" w14:textId="77777777" w:rsidTr="00CA4444">
        <w:tc>
          <w:tcPr>
            <w:tcW w:w="3828" w:type="dxa"/>
          </w:tcPr>
          <w:p w14:paraId="2E74968E" w14:textId="1BC765A7" w:rsidR="00CA4444" w:rsidRDefault="00CA4444" w:rsidP="00CA4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Government (Department of Health)</w:t>
            </w:r>
          </w:p>
        </w:tc>
        <w:tc>
          <w:tcPr>
            <w:tcW w:w="3544" w:type="dxa"/>
          </w:tcPr>
          <w:p w14:paraId="49C081AE" w14:textId="1668F0C4" w:rsidR="00CA4444" w:rsidRDefault="00681DC4" w:rsidP="00CA4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Identify provinces with the high health risks and resource gaps.</w:t>
            </w:r>
          </w:p>
        </w:tc>
        <w:tc>
          <w:tcPr>
            <w:tcW w:w="3261" w:type="dxa"/>
          </w:tcPr>
          <w:p w14:paraId="793BBD9C" w14:textId="0B7B4C7C" w:rsidR="00CA4444" w:rsidRDefault="009706B3" w:rsidP="00CA4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Reduction in child mortality rates (%).</w:t>
            </w:r>
          </w:p>
        </w:tc>
      </w:tr>
      <w:tr w:rsidR="00CA4444" w14:paraId="319E2CA6" w14:textId="77777777" w:rsidTr="00CA4444">
        <w:tc>
          <w:tcPr>
            <w:tcW w:w="3828" w:type="dxa"/>
          </w:tcPr>
          <w:p w14:paraId="28FC203C" w14:textId="3372DBC6" w:rsidR="00CA4444" w:rsidRDefault="00CA4444" w:rsidP="00CA4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NGOs/NPOs</w:t>
            </w:r>
          </w:p>
        </w:tc>
        <w:tc>
          <w:tcPr>
            <w:tcW w:w="3544" w:type="dxa"/>
          </w:tcPr>
          <w:p w14:paraId="6B6D5431" w14:textId="7DE6FD92" w:rsidR="00CA4444" w:rsidRDefault="00681DC4" w:rsidP="00CA4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Prioritize regions for campaigns (HIV prevention, sanitation, immunization)</w:t>
            </w:r>
          </w:p>
        </w:tc>
        <w:tc>
          <w:tcPr>
            <w:tcW w:w="3261" w:type="dxa"/>
          </w:tcPr>
          <w:p w14:paraId="5C43D70E" w14:textId="2239CF3A" w:rsidR="00CA4444" w:rsidRDefault="009706B3" w:rsidP="00CA4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Increase in immunization coverage (%).</w:t>
            </w:r>
          </w:p>
        </w:tc>
      </w:tr>
      <w:tr w:rsidR="00CA4444" w14:paraId="43B0F579" w14:textId="77777777" w:rsidTr="00CA4444">
        <w:tc>
          <w:tcPr>
            <w:tcW w:w="3828" w:type="dxa"/>
          </w:tcPr>
          <w:p w14:paraId="1C2399C0" w14:textId="74BDD9BF" w:rsidR="00CA4444" w:rsidRDefault="00681DC4" w:rsidP="00CA4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Healthcare Providers and Clinics</w:t>
            </w:r>
          </w:p>
        </w:tc>
        <w:tc>
          <w:tcPr>
            <w:tcW w:w="3544" w:type="dxa"/>
          </w:tcPr>
          <w:p w14:paraId="1CCE0C21" w14:textId="5C5C986A" w:rsidR="00CA4444" w:rsidRDefault="00681DC4" w:rsidP="00CA4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Understand the population needs and healthcare access issues.</w:t>
            </w:r>
          </w:p>
        </w:tc>
        <w:tc>
          <w:tcPr>
            <w:tcW w:w="3261" w:type="dxa"/>
          </w:tcPr>
          <w:p w14:paraId="27B41C5D" w14:textId="436F8843" w:rsidR="00CA4444" w:rsidRDefault="009706B3" w:rsidP="00CA4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Clinic to population ratio.</w:t>
            </w:r>
          </w:p>
        </w:tc>
      </w:tr>
      <w:tr w:rsidR="00CA4444" w14:paraId="0D616775" w14:textId="77777777" w:rsidTr="00CA4444">
        <w:tc>
          <w:tcPr>
            <w:tcW w:w="3828" w:type="dxa"/>
          </w:tcPr>
          <w:p w14:paraId="76C60D0D" w14:textId="02C055C7" w:rsidR="00CA4444" w:rsidRDefault="00681DC4" w:rsidP="00CA4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Researchers/Academics</w:t>
            </w:r>
          </w:p>
        </w:tc>
        <w:tc>
          <w:tcPr>
            <w:tcW w:w="3544" w:type="dxa"/>
          </w:tcPr>
          <w:p w14:paraId="26EFB3B8" w14:textId="1C4F96A2" w:rsidR="00CA4444" w:rsidRDefault="00681DC4" w:rsidP="00CA4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Access to structured datasets and insights for policy studies.</w:t>
            </w:r>
          </w:p>
        </w:tc>
        <w:tc>
          <w:tcPr>
            <w:tcW w:w="3261" w:type="dxa"/>
          </w:tcPr>
          <w:p w14:paraId="54CE6765" w14:textId="3DE5D6DF" w:rsidR="00CA4444" w:rsidRDefault="009706B3" w:rsidP="00CA44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published findings.</w:t>
            </w:r>
          </w:p>
        </w:tc>
      </w:tr>
    </w:tbl>
    <w:p w14:paraId="158471E8" w14:textId="77777777" w:rsidR="009706B3" w:rsidRDefault="009706B3" w:rsidP="00CA4444">
      <w:pPr>
        <w:rPr>
          <w:lang w:val="en-US"/>
        </w:rPr>
      </w:pPr>
    </w:p>
    <w:p w14:paraId="67F77A47" w14:textId="4711EB80" w:rsidR="00CA4444" w:rsidRDefault="009706B3" w:rsidP="009706B3">
      <w:pPr>
        <w:pStyle w:val="Heading2"/>
      </w:pPr>
      <w:r>
        <w:t>Success Criteria</w:t>
      </w:r>
    </w:p>
    <w:p w14:paraId="7EB7C6A2" w14:textId="1AC91C62" w:rsidR="009706B3" w:rsidRPr="009706B3" w:rsidRDefault="009706B3" w:rsidP="009706B3">
      <w:pPr>
        <w:spacing w:after="0" w:line="240" w:lineRule="auto"/>
        <w:rPr>
          <w:b/>
          <w:bCs/>
          <w:lang w:val="en-US"/>
        </w:rPr>
      </w:pPr>
      <w:r w:rsidRPr="009706B3">
        <w:rPr>
          <w:b/>
          <w:bCs/>
          <w:lang w:val="en-US"/>
        </w:rPr>
        <w:t>Analytical Success:</w:t>
      </w:r>
    </w:p>
    <w:p w14:paraId="43D9E55E" w14:textId="19A4AFA4" w:rsidR="009706B3" w:rsidRDefault="009706B3" w:rsidP="009706B3">
      <w:pPr>
        <w:pStyle w:val="ListParagraph"/>
        <w:numPr>
          <w:ilvl w:val="0"/>
          <w:numId w:val="8"/>
        </w:numPr>
        <w:spacing w:after="0"/>
        <w:ind w:left="714" w:hanging="357"/>
        <w:rPr>
          <w:lang w:val="en-US"/>
        </w:rPr>
      </w:pPr>
      <w:r>
        <w:rPr>
          <w:lang w:val="en-US"/>
        </w:rPr>
        <w:t>Build models (classification, clustering, association rules) that achieve acceptable performance (for example, prediction accuracy &gt; 70%).</w:t>
      </w:r>
    </w:p>
    <w:p w14:paraId="4ADBAAEE" w14:textId="725B08FF" w:rsidR="009706B3" w:rsidRDefault="009706B3" w:rsidP="009706B3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Identify meaningful clusters with similar healthcare challenges.</w:t>
      </w:r>
    </w:p>
    <w:p w14:paraId="0CEDB2B3" w14:textId="704F6C8F" w:rsidR="009706B3" w:rsidRDefault="009706B3" w:rsidP="009706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Extract meaningful rules (for example, low literacy + no sanitation = high ARI risk).</w:t>
      </w:r>
    </w:p>
    <w:p w14:paraId="7406D9B1" w14:textId="15CAC143" w:rsidR="009706B3" w:rsidRPr="009706B3" w:rsidRDefault="009706B3" w:rsidP="009706B3">
      <w:pPr>
        <w:spacing w:line="240" w:lineRule="auto"/>
        <w:rPr>
          <w:b/>
          <w:bCs/>
          <w:lang w:val="en-US"/>
        </w:rPr>
      </w:pPr>
      <w:r w:rsidRPr="009706B3">
        <w:rPr>
          <w:b/>
          <w:bCs/>
          <w:lang w:val="en-US"/>
        </w:rPr>
        <w:t>Business Success:</w:t>
      </w:r>
    </w:p>
    <w:p w14:paraId="1CE96416" w14:textId="5B75E192" w:rsidR="009706B3" w:rsidRDefault="009706B3" w:rsidP="009706B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Insights led to practical recommendations for healthcare and community interventions.</w:t>
      </w:r>
    </w:p>
    <w:p w14:paraId="554376B3" w14:textId="0B7A528D" w:rsidR="009706B3" w:rsidRDefault="007A2293" w:rsidP="009706B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Dashboards highlight priority areas for intervention (geographic or demographic).</w:t>
      </w:r>
    </w:p>
    <w:p w14:paraId="7B362DEE" w14:textId="210707F9" w:rsidR="007A2293" w:rsidRDefault="007A2293" w:rsidP="009706B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Stakeholders confirm results are useful for guiding decision-making.</w:t>
      </w:r>
    </w:p>
    <w:p w14:paraId="414C2F2F" w14:textId="65B19426" w:rsidR="007A2293" w:rsidRDefault="007A2293" w:rsidP="007A2293">
      <w:pPr>
        <w:pStyle w:val="Heading2"/>
      </w:pPr>
      <w:r>
        <w:t>Inventory of Resources</w:t>
      </w:r>
    </w:p>
    <w:p w14:paraId="150F06BF" w14:textId="655CB6D7" w:rsidR="007A2293" w:rsidRDefault="007A2293" w:rsidP="007A2293">
      <w:pPr>
        <w:pStyle w:val="ListParagraph"/>
        <w:numPr>
          <w:ilvl w:val="0"/>
          <w:numId w:val="10"/>
        </w:numPr>
        <w:rPr>
          <w:lang w:val="en-US"/>
        </w:rPr>
      </w:pPr>
      <w:r w:rsidRPr="007A2293">
        <w:rPr>
          <w:b/>
          <w:bCs/>
          <w:lang w:val="en-US"/>
        </w:rPr>
        <w:t>Datasets:</w:t>
      </w:r>
      <w:r>
        <w:rPr>
          <w:lang w:val="en-US"/>
        </w:rPr>
        <w:t xml:space="preserve"> 13 </w:t>
      </w:r>
      <w:proofErr w:type="gramStart"/>
      <w:r>
        <w:rPr>
          <w:lang w:val="en-US"/>
        </w:rPr>
        <w:t>provided datasets</w:t>
      </w:r>
      <w:proofErr w:type="gramEnd"/>
      <w:r>
        <w:rPr>
          <w:lang w:val="en-US"/>
        </w:rPr>
        <w:t xml:space="preserve"> (access to healthcare, literacy, immunization etc.).</w:t>
      </w:r>
    </w:p>
    <w:p w14:paraId="02C568F6" w14:textId="55AB34C4" w:rsidR="007A2293" w:rsidRDefault="007A2293" w:rsidP="007A2293">
      <w:pPr>
        <w:pStyle w:val="ListParagraph"/>
        <w:numPr>
          <w:ilvl w:val="0"/>
          <w:numId w:val="10"/>
        </w:numPr>
        <w:rPr>
          <w:lang w:val="en-US"/>
        </w:rPr>
      </w:pPr>
      <w:r w:rsidRPr="007A2293">
        <w:rPr>
          <w:b/>
          <w:bCs/>
          <w:lang w:val="en-US"/>
        </w:rPr>
        <w:t>Tools:</w:t>
      </w:r>
      <w:r>
        <w:rPr>
          <w:lang w:val="en-US"/>
        </w:rPr>
        <w:t xml:space="preserve"> R and R Markdown (for analysis and modelling) and Power BI (for dashboards).</w:t>
      </w:r>
    </w:p>
    <w:p w14:paraId="326603C6" w14:textId="0A2A90F3" w:rsidR="007A2293" w:rsidRPr="007A2293" w:rsidRDefault="007A2293" w:rsidP="007A229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7A2293">
        <w:rPr>
          <w:b/>
          <w:bCs/>
          <w:lang w:val="en-US"/>
        </w:rPr>
        <w:t>Team Resources:</w:t>
      </w:r>
      <w:r>
        <w:rPr>
          <w:lang w:val="en-US"/>
        </w:rPr>
        <w:t xml:space="preserve"> Group of 5 students.</w:t>
      </w:r>
    </w:p>
    <w:p w14:paraId="211553BD" w14:textId="3CE92787" w:rsidR="007A2293" w:rsidRPr="007A2293" w:rsidRDefault="007A2293" w:rsidP="007A229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Infrastructure:</w:t>
      </w:r>
      <w:r>
        <w:rPr>
          <w:lang w:val="en-US"/>
        </w:rPr>
        <w:t xml:space="preserve"> RStudio,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>, central repository and task manager via GitHub.</w:t>
      </w:r>
    </w:p>
    <w:p w14:paraId="6BEEBF51" w14:textId="10B7DBE1" w:rsidR="007A2293" w:rsidRDefault="007A2293" w:rsidP="007A2293">
      <w:pPr>
        <w:pStyle w:val="Heading2"/>
      </w:pPr>
      <w:r>
        <w:lastRenderedPageBreak/>
        <w:t>Risks, Assumptions and Constraints</w:t>
      </w:r>
    </w:p>
    <w:p w14:paraId="4C412ABF" w14:textId="1AB5E850" w:rsidR="007A2293" w:rsidRDefault="007A2293" w:rsidP="007A2293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7A2293">
        <w:rPr>
          <w:b/>
          <w:bCs/>
          <w:lang w:val="en-US"/>
        </w:rPr>
        <w:t>Risks:</w:t>
      </w:r>
    </w:p>
    <w:p w14:paraId="7C098425" w14:textId="0DCE0F83" w:rsidR="007A2293" w:rsidRDefault="007A2293" w:rsidP="007A2293">
      <w:pPr>
        <w:pStyle w:val="ListParagraph"/>
        <w:numPr>
          <w:ilvl w:val="1"/>
          <w:numId w:val="11"/>
        </w:numPr>
        <w:rPr>
          <w:lang w:val="en-US"/>
        </w:rPr>
      </w:pPr>
      <w:r w:rsidRPr="007A2293">
        <w:rPr>
          <w:lang w:val="en-US"/>
        </w:rPr>
        <w:t xml:space="preserve">Missing </w:t>
      </w:r>
      <w:r>
        <w:rPr>
          <w:lang w:val="en-US"/>
        </w:rPr>
        <w:t>or incomplete data in the datasets.</w:t>
      </w:r>
    </w:p>
    <w:p w14:paraId="6C431A98" w14:textId="45777F55" w:rsidR="007A2293" w:rsidRDefault="007A2293" w:rsidP="007A229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Regional disparities (like rural vs urban) may skew insights.</w:t>
      </w:r>
    </w:p>
    <w:p w14:paraId="44986D28" w14:textId="099943B6" w:rsidR="007A2293" w:rsidRDefault="007A2293" w:rsidP="007A229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Time limitations for full data cleaning and modelling.</w:t>
      </w:r>
    </w:p>
    <w:p w14:paraId="15B35A26" w14:textId="2D324322" w:rsidR="007A2293" w:rsidRPr="007A2293" w:rsidRDefault="007A2293" w:rsidP="007A2293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7A2293">
        <w:rPr>
          <w:b/>
          <w:bCs/>
          <w:lang w:val="en-US"/>
        </w:rPr>
        <w:t>Assumptions:</w:t>
      </w:r>
    </w:p>
    <w:p w14:paraId="3018AF06" w14:textId="7BFC3594" w:rsidR="007A2293" w:rsidRDefault="007A2293" w:rsidP="007A229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Provided datasets</w:t>
      </w:r>
      <w:r w:rsidR="00FB2AB3">
        <w:rPr>
          <w:lang w:val="en-US"/>
        </w:rPr>
        <w:t xml:space="preserve"> are representative of the population.</w:t>
      </w:r>
    </w:p>
    <w:p w14:paraId="7C999921" w14:textId="57C4DF3D" w:rsidR="00FB2AB3" w:rsidRDefault="00FB2AB3" w:rsidP="007A229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Stakeholders will use the generated insights to improve healthcare policy.</w:t>
      </w:r>
    </w:p>
    <w:p w14:paraId="58C07100" w14:textId="3BA45DEB" w:rsidR="00FB2AB3" w:rsidRPr="00FB2AB3" w:rsidRDefault="00FB2AB3" w:rsidP="00FB2AB3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FB2AB3">
        <w:rPr>
          <w:b/>
          <w:bCs/>
          <w:lang w:val="en-US"/>
        </w:rPr>
        <w:t>Constraints:</w:t>
      </w:r>
    </w:p>
    <w:p w14:paraId="2AEFDC03" w14:textId="5AA26B15" w:rsidR="00FB2AB3" w:rsidRDefault="00FB2AB3" w:rsidP="00FB2AB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Project is limited to the provided datasets, as there is no primary data collection.</w:t>
      </w:r>
    </w:p>
    <w:p w14:paraId="765C7B10" w14:textId="02ABB211" w:rsidR="00FB2AB3" w:rsidRDefault="00FB2AB3" w:rsidP="00FB2AB3">
      <w:pPr>
        <w:pStyle w:val="Heading2"/>
      </w:pPr>
      <w:r>
        <w:t>Data Mining Goals and Success Criteria</w:t>
      </w:r>
    </w:p>
    <w:p w14:paraId="5E9E222F" w14:textId="4F7AE31B" w:rsidR="00FB2AB3" w:rsidRDefault="00FB2AB3" w:rsidP="00FB2A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Apply clustering to group regions by their risk factors.</w:t>
      </w:r>
    </w:p>
    <w:p w14:paraId="7339FCDE" w14:textId="247F6982" w:rsidR="00FB2AB3" w:rsidRDefault="00FB2AB3" w:rsidP="00FB2A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Apply classification models to predict child mortality or healthcare access.</w:t>
      </w:r>
    </w:p>
    <w:p w14:paraId="4F7C8C8F" w14:textId="044C237C" w:rsidR="00FB2AB3" w:rsidRDefault="00FB2AB3" w:rsidP="00FB2A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Apply association rule mining to uncover hidden patterns between literacy, sanitation and disease.</w:t>
      </w:r>
    </w:p>
    <w:p w14:paraId="3A22BE28" w14:textId="77777777" w:rsidR="00FB2AB3" w:rsidRDefault="00FB2AB3" w:rsidP="00FB2A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Validate and assess models by making use of accuracy, F1-score or Silhouette index.</w:t>
      </w:r>
    </w:p>
    <w:p w14:paraId="645CAEAF" w14:textId="77777777" w:rsidR="00FB2AB3" w:rsidRDefault="00FB2AB3" w:rsidP="00FB2AB3">
      <w:pPr>
        <w:pStyle w:val="Heading2"/>
      </w:pPr>
      <w:r>
        <w:t>Importance of CRISP-DM</w:t>
      </w:r>
    </w:p>
    <w:p w14:paraId="4CDDC893" w14:textId="69E83396" w:rsidR="00FB2AB3" w:rsidRDefault="00FB2AB3" w:rsidP="00FB2AB3">
      <w:pPr>
        <w:rPr>
          <w:lang w:val="en-US"/>
        </w:rPr>
      </w:pPr>
      <w:r>
        <w:rPr>
          <w:lang w:val="en-US"/>
        </w:rPr>
        <w:t>Using CRISP-DM provides a structured, industry standard approach to guide this project and its progress.</w:t>
      </w:r>
    </w:p>
    <w:p w14:paraId="59BF8222" w14:textId="33DB2F58" w:rsidR="00FB2AB3" w:rsidRDefault="00FB2AB3" w:rsidP="00FB2A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Makes the process repeatable and transparent for stakeholders.</w:t>
      </w:r>
    </w:p>
    <w:p w14:paraId="27C5999C" w14:textId="416525A6" w:rsidR="00FB2AB3" w:rsidRDefault="00FB2AB3" w:rsidP="00FB2A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Ensures systematic alignment from problem definition to deployment.</w:t>
      </w:r>
    </w:p>
    <w:p w14:paraId="2F7D2EDE" w14:textId="31D4B864" w:rsidR="00FB2AB3" w:rsidRPr="00FB2AB3" w:rsidRDefault="00FB2AB3" w:rsidP="00FB2A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Encourages iteration (revisiting earlier steps).</w:t>
      </w:r>
    </w:p>
    <w:sectPr w:rsidR="00FB2AB3" w:rsidRPr="00FB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5356"/>
    <w:multiLevelType w:val="hybridMultilevel"/>
    <w:tmpl w:val="327053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7F5"/>
    <w:multiLevelType w:val="multilevel"/>
    <w:tmpl w:val="3C0294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95B90"/>
    <w:multiLevelType w:val="hybridMultilevel"/>
    <w:tmpl w:val="C0224F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32EE7"/>
    <w:multiLevelType w:val="multilevel"/>
    <w:tmpl w:val="1D56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C4C36"/>
    <w:multiLevelType w:val="hybridMultilevel"/>
    <w:tmpl w:val="F8EC21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C3A94"/>
    <w:multiLevelType w:val="hybridMultilevel"/>
    <w:tmpl w:val="1EB2F0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9788D"/>
    <w:multiLevelType w:val="multilevel"/>
    <w:tmpl w:val="284A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86726"/>
    <w:multiLevelType w:val="hybridMultilevel"/>
    <w:tmpl w:val="EFBEE3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D4A49"/>
    <w:multiLevelType w:val="multilevel"/>
    <w:tmpl w:val="09B48C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6120F1"/>
    <w:multiLevelType w:val="hybridMultilevel"/>
    <w:tmpl w:val="7BEEB810"/>
    <w:lvl w:ilvl="0" w:tplc="AEAA312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E0511"/>
    <w:multiLevelType w:val="hybridMultilevel"/>
    <w:tmpl w:val="FD14B1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026D9"/>
    <w:multiLevelType w:val="hybridMultilevel"/>
    <w:tmpl w:val="179051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E2D10"/>
    <w:multiLevelType w:val="hybridMultilevel"/>
    <w:tmpl w:val="167850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912570">
    <w:abstractNumId w:val="6"/>
  </w:num>
  <w:num w:numId="2" w16cid:durableId="641741235">
    <w:abstractNumId w:val="1"/>
  </w:num>
  <w:num w:numId="3" w16cid:durableId="1748766478">
    <w:abstractNumId w:val="8"/>
  </w:num>
  <w:num w:numId="4" w16cid:durableId="832069235">
    <w:abstractNumId w:val="3"/>
  </w:num>
  <w:num w:numId="5" w16cid:durableId="2058897349">
    <w:abstractNumId w:val="9"/>
  </w:num>
  <w:num w:numId="6" w16cid:durableId="162163110">
    <w:abstractNumId w:val="5"/>
  </w:num>
  <w:num w:numId="7" w16cid:durableId="2123572445">
    <w:abstractNumId w:val="10"/>
  </w:num>
  <w:num w:numId="8" w16cid:durableId="731077781">
    <w:abstractNumId w:val="0"/>
  </w:num>
  <w:num w:numId="9" w16cid:durableId="1571502433">
    <w:abstractNumId w:val="11"/>
  </w:num>
  <w:num w:numId="10" w16cid:durableId="449671860">
    <w:abstractNumId w:val="2"/>
  </w:num>
  <w:num w:numId="11" w16cid:durableId="321198151">
    <w:abstractNumId w:val="12"/>
  </w:num>
  <w:num w:numId="12" w16cid:durableId="1773358166">
    <w:abstractNumId w:val="4"/>
  </w:num>
  <w:num w:numId="13" w16cid:durableId="2798456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01"/>
    <w:rsid w:val="000435D0"/>
    <w:rsid w:val="00121211"/>
    <w:rsid w:val="00291527"/>
    <w:rsid w:val="00316923"/>
    <w:rsid w:val="00681DC4"/>
    <w:rsid w:val="00737E01"/>
    <w:rsid w:val="00776517"/>
    <w:rsid w:val="00787D84"/>
    <w:rsid w:val="007A2293"/>
    <w:rsid w:val="0085117D"/>
    <w:rsid w:val="009706B3"/>
    <w:rsid w:val="00AF2C26"/>
    <w:rsid w:val="00CA4444"/>
    <w:rsid w:val="00D54884"/>
    <w:rsid w:val="00E37191"/>
    <w:rsid w:val="00EE5440"/>
    <w:rsid w:val="00F35A00"/>
    <w:rsid w:val="00F8481E"/>
    <w:rsid w:val="00FB2AB3"/>
    <w:rsid w:val="00FD5F0F"/>
    <w:rsid w:val="00FF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18666"/>
  <w15:chartTrackingRefBased/>
  <w15:docId w15:val="{65F7DE0E-BFE6-407F-81F7-6C51CDD7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F0F"/>
    <w:pPr>
      <w:spacing w:before="120" w:after="120" w:line="360" w:lineRule="auto"/>
      <w:jc w:val="both"/>
    </w:pPr>
    <w:rPr>
      <w:rFonts w:ascii="Times New Roman" w:hAnsi="Times New Roman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4939"/>
    <w:pPr>
      <w:keepNext/>
      <w:keepLines/>
      <w:spacing w:before="240" w:after="160"/>
      <w:jc w:val="center"/>
      <w:outlineLvl w:val="0"/>
    </w:pPr>
    <w:rPr>
      <w:rFonts w:eastAsiaTheme="majorEastAsia" w:cstheme="majorBidi"/>
      <w:b/>
      <w:kern w:val="0"/>
      <w:sz w:val="32"/>
      <w:szCs w:val="4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1211"/>
    <w:pPr>
      <w:keepNext/>
      <w:keepLines/>
      <w:numPr>
        <w:numId w:val="5"/>
      </w:numPr>
      <w:spacing w:before="40"/>
      <w:ind w:left="0"/>
      <w:outlineLvl w:val="1"/>
    </w:pPr>
    <w:rPr>
      <w:rFonts w:eastAsiaTheme="majorEastAsia" w:cstheme="majorBidi"/>
      <w:kern w:val="0"/>
      <w:sz w:val="28"/>
      <w:szCs w:val="28"/>
      <w:u w:val="single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5F0F"/>
    <w:pPr>
      <w:keepNext/>
      <w:keepLines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E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E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E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E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E0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E0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939"/>
    <w:rPr>
      <w:rFonts w:ascii="Times New Roman" w:eastAsiaTheme="majorEastAsia" w:hAnsi="Times New Roman" w:cstheme="majorBidi"/>
      <w:b/>
      <w:sz w:val="32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1211"/>
    <w:rPr>
      <w:rFonts w:ascii="Times New Roman" w:eastAsiaTheme="majorEastAsia" w:hAnsi="Times New Roman" w:cstheme="majorBidi"/>
      <w:sz w:val="28"/>
      <w:szCs w:val="28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D5F0F"/>
    <w:rPr>
      <w:rFonts w:ascii="Times New Roman" w:eastAsiaTheme="majorEastAsia" w:hAnsi="Times New Roman" w:cstheme="majorBidi"/>
      <w:b/>
      <w:i/>
      <w:kern w:val="2"/>
      <w:sz w:val="24"/>
      <w:szCs w:val="2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54884"/>
    <w:pPr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5488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E01"/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E01"/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E01"/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E01"/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E01"/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E01"/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E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E01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737E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E01"/>
    <w:rPr>
      <w:rFonts w:ascii="Times New Roman" w:hAnsi="Times New Roman"/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737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E01"/>
    <w:rPr>
      <w:rFonts w:ascii="Times New Roman" w:hAnsi="Times New Roman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737E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4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Oosthuizen</dc:creator>
  <cp:keywords/>
  <dc:description/>
  <cp:lastModifiedBy>Juan Oosthuizen</cp:lastModifiedBy>
  <cp:revision>1</cp:revision>
  <dcterms:created xsi:type="dcterms:W3CDTF">2025-09-03T12:02:00Z</dcterms:created>
  <dcterms:modified xsi:type="dcterms:W3CDTF">2025-09-03T19:38:00Z</dcterms:modified>
</cp:coreProperties>
</file>