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pPr>
      <w:r>
        <w:rPr>
          <w:rFonts w:ascii="Arial" w:cs="Arial" w:eastAsia="Arial" w:hAnsi="Arial"/>
          <w:b/>
          <w:bCs/>
          <w:color w:val="1A1A1A"/>
          <w:sz w:val="72"/>
          <w:szCs w:val="72"/>
        </w:rPr>
        <w:t xml:space="preserve">BEEKEEPER</w:t>
      </w:r>
    </w:p>
    <w:p>
      <w:pPr>
        <w:spacing w:after="80"/>
      </w:pPr>
      <w:r>
        <w:rPr>
          <w:rFonts w:ascii="Arial" w:cs="Arial" w:eastAsia="Arial" w:hAnsi="Arial"/>
          <w:color w:val="555555"/>
          <w:sz w:val="32"/>
          <w:szCs w:val="32"/>
        </w:rPr>
        <w:t xml:space="preserve">Game Design Review &amp; Improvement Recommendations</w:t>
      </w:r>
    </w:p>
    <w:p>
      <w:pPr>
        <w:spacing w:after="1440"/>
      </w:pPr>
      <w:r>
        <w:rPr>
          <w:rFonts w:ascii="Arial" w:cs="Arial" w:eastAsia="Arial" w:hAnsi="Arial"/>
          <w:color w:val="888888"/>
          <w:sz w:val="22"/>
          <w:szCs w:val="22"/>
        </w:rPr>
        <w:t xml:space="preserve">February 2026</w:t>
      </w:r>
    </w:p>
    <w:p>
      <w:pPr>
        <w:pStyle w:val="Heading1"/>
      </w:pPr>
      <w:r>
        <w:t xml:space="preserve">Executive Summary</w:t>
      </w:r>
    </w:p>
    <w:p>
      <w:pPr>
        <w:spacing w:after="160"/>
      </w:pPr>
      <w:r>
        <w:rPr>
          <w:sz w:val="24"/>
          <w:szCs w:val="24"/>
        </w:rPr>
        <w:t xml:space="preserve">BeeKeeper has a solid simulation foundation — seasonal multipliers, queen traits, allocation presets, threat events, and a clear win condition are all in place. However, a full review of the source code reveals two categories of issues that limit how engaging and understandable the game feels to players.</w:t>
      </w:r>
    </w:p>
    <w:p>
      <w:pPr>
        <w:spacing w:after="160"/>
      </w:pPr>
      <w:r>
        <w:rPr>
          <w:sz w:val="24"/>
          <w:szCs w:val="24"/>
        </w:rPr>
        <w:t xml:space="preserve">First, the feedback loop is largely invisible. The core daily tick computes population growth, population decay, health drift, honey consumption, and starvation penalties — but none of these are communicated to the player through the event log. Players see their numbers shift but cannot understand why, making it impossible to learn the game's systems through play.</w:t>
      </w:r>
    </w:p>
    <w:p>
      <w:pPr>
        <w:spacing w:after="160"/>
      </w:pPr>
      <w:r>
        <w:rPr>
          <w:sz w:val="24"/>
          <w:szCs w:val="24"/>
        </w:rPr>
        <w:t xml:space="preserve">Second, player agency is narrower than the interface suggests. Only four actions exist, two of which are purely reactive (Harvest, Treat). The allocation presets are set-and-forget, and there are no proactive decisions tied to timing, opportunity, or trade-off that create meaningful moment-to-moment tension.</w:t>
      </w:r>
    </w:p>
    <w:p>
      <w:pPr>
        <w:spacing w:after="160"/>
      </w:pPr>
      <w:r>
        <w:rPr>
          <w:sz w:val="24"/>
          <w:szCs w:val="24"/>
        </w:rPr>
        <w:t xml:space="preserve">The 17 findings below are organized into four categories: Feedback &amp; Transparency, Player Agency, Game Feel &amp; Polish, and Game Balance. Each finding includes a severity rating, a description of the root cause in the code, and a concrete recommendation.</w:t>
      </w:r>
    </w:p>
    <w:p>
      <w:r>
        <w:t xml:space="preserve"/>
      </w:r>
    </w:p>
    <w:p>
      <w:pPr>
        <w:pStyle w:val="Heading2"/>
      </w:pPr>
      <w:r>
        <w:t xml:space="preserve">Severity Guide</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F5C842" w:val="clear"/>
            <w:tcMar>
              <w:top w:type="dxa" w:w="80"/>
              <w:left w:type="dxa" w:w="120"/>
              <w:bottom w:type="dxa" w:w="80"/>
              <w:right w:type="dxa" w:w="120"/>
            </w:tcMar>
          </w:tcPr>
          <w:p>
            <w:pPr>
              <w:spacing w:after="0"/>
            </w:pPr>
            <w:r>
              <w:rPr>
                <w:b/>
                <w:bCs/>
                <w:sz w:val="22"/>
                <w:szCs w:val="22"/>
              </w:rPr>
              <w:t xml:space="preserve">Level</w:t>
            </w:r>
          </w:p>
        </w:tc>
        <w:tc>
          <w:tcPr>
            <w:tcW w:type="dxa" w:w="6160"/>
            <w:tcBorders>
              <w:top w:val="single" w:color="CCCCCC" w:sz="1"/>
              <w:left w:val="single" w:color="CCCCCC" w:sz="1"/>
              <w:bottom w:val="single" w:color="CCCCCC" w:sz="1"/>
              <w:right w:val="single" w:color="CCCCCC" w:sz="1"/>
            </w:tcBorders>
            <w:shd w:fill="F5C842" w:val="clear"/>
            <w:tcMar>
              <w:top w:type="dxa" w:w="80"/>
              <w:left w:type="dxa" w:w="120"/>
              <w:bottom w:type="dxa" w:w="80"/>
              <w:right w:type="dxa" w:w="120"/>
            </w:tcMar>
          </w:tcPr>
          <w:p>
            <w:pPr>
              <w:spacing w:after="0"/>
            </w:pPr>
            <w:r>
              <w:rPr>
                <w:b/>
                <w:bCs/>
                <w:sz w:val="22"/>
                <w:szCs w:val="22"/>
              </w:rPr>
              <w:t xml:space="preserve">Meaning</w:t>
            </w:r>
          </w:p>
        </w:tc>
      </w:tr>
      <w:tr>
        <w:trPr>
          <w:tblHeader w:val="false"/>
        </w:trPr>
        <w:tc>
          <w:tcPr>
            <w:tcW w:type="dxa" w:w="32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pPr>
              <w:spacing w:after="0"/>
            </w:pPr>
            <w:r>
              <w:rPr>
                <w:b w:val="false"/>
                <w:bCs w:val="false"/>
                <w:sz w:val="22"/>
                <w:szCs w:val="22"/>
              </w:rPr>
              <w:t xml:space="preserve">P1 – Critical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sz w:val="22"/>
                <w:szCs w:val="22"/>
              </w:rPr>
              <w:t xml:space="preserve">Directly causes player confusion or disengagement; should be addressed first</w:t>
            </w:r>
          </w:p>
        </w:tc>
      </w:tr>
      <w:tr>
        <w:trPr>
          <w:tblHeader w:val="false"/>
        </w:trPr>
        <w:tc>
          <w:tcPr>
            <w:tcW w:type="dxa" w:w="32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pPr>
              <w:spacing w:after="0"/>
            </w:pPr>
            <w:r>
              <w:rPr>
                <w:b w:val="false"/>
                <w:bCs w:val="false"/>
                <w:sz w:val="22"/>
                <w:szCs w:val="22"/>
              </w:rPr>
              <w:t xml:space="preserve">P2 – High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sz w:val="22"/>
                <w:szCs w:val="22"/>
              </w:rPr>
              <w:t xml:space="preserve">Noticeably degrades experience; high return on investment to fix</w:t>
            </w:r>
          </w:p>
        </w:tc>
      </w:tr>
      <w:tr>
        <w:trPr>
          <w:tblHeader w:val="false"/>
        </w:trPr>
        <w:tc>
          <w:tcPr>
            <w:tcW w:type="dxa" w:w="32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pPr>
              <w:spacing w:after="0"/>
            </w:pPr>
            <w:r>
              <w:rPr>
                <w:b w:val="false"/>
                <w:bCs w:val="false"/>
                <w:sz w:val="22"/>
                <w:szCs w:val="22"/>
              </w:rPr>
              <w:t xml:space="preserve">P3 – Polish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sz w:val="22"/>
                <w:szCs w:val="22"/>
              </w:rPr>
              <w:t xml:space="preserve">Quality-of-life improvement; does not block understanding but adds professional finish</w:t>
            </w:r>
          </w:p>
        </w:tc>
      </w:tr>
    </w:tbl>
    <w:p>
      <w:r>
        <w:t xml:space="preserve"/>
      </w:r>
    </w:p>
    <w:p>
      <w:r>
        <w:t xml:space="preserve"/>
      </w:r>
    </w:p>
    <w:p>
      <w:pPr>
        <w:pStyle w:val="Heading1"/>
      </w:pPr>
      <w:r>
        <w:t xml:space="preserve">Category 1: Feedback &amp; Transparency</w:t>
      </w:r>
    </w:p>
    <w:p>
      <w:pPr>
        <w:spacing w:after="160"/>
      </w:pPr>
      <w:r>
        <w:rPr>
          <w:sz w:val="24"/>
          <w:szCs w:val="24"/>
        </w:rPr>
        <w:t xml:space="preserve">These issues cause players to lose trust in the simulation because observable changes cannot be explained. This is the highest-priority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ADADD" w:val="clear"/>
            <w:tcMar>
              <w:top w:type="dxa" w:w="80"/>
              <w:left w:type="dxa" w:w="120"/>
              <w:bottom w:type="dxa" w:w="80"/>
              <w:right w:type="dxa" w:w="120"/>
            </w:tcMar>
            <w:vAlign w:val="center"/>
          </w:tcPr>
          <w:p>
            <w:pPr>
              <w:spacing w:after="0"/>
              <w:jc w:val="center"/>
            </w:pPr>
            <w:r>
              <w:rPr>
                <w:b/>
                <w:bCs/>
                <w:color w:val="333333"/>
                <w:sz w:val="22"/>
                <w:szCs w:val="22"/>
              </w:rPr>
              <w:t xml:space="preserve">P1</w:t>
            </w:r>
            <w:r>
              <w:rPr>
                <w:color w:val="555555"/>
                <w:sz w:val="18"/>
                <w:szCs w:val="18"/>
              </w:rPr>
              <w:t xml:space="preserve">
FB-01</w:t>
            </w:r>
          </w:p>
        </w:tc>
        <w:tc>
          <w:tcPr>
            <w:tcW w:type="dxa" w:w="8160"/>
            <w:tcBorders>
              <w:top w:val="single" w:color="CCCCCC" w:sz="1"/>
              <w:left w:val="single" w:color="CCCCCC" w:sz="1"/>
              <w:bottom w:val="single" w:color="CCCCCC" w:sz="1"/>
              <w:right w:val="single" w:color="CCCCCC" w:sz="1"/>
            </w:tcBorders>
            <w:shd w:fill="FEFEFE" w:val="clear"/>
            <w:tcMar>
              <w:top w:type="dxa" w:w="80"/>
              <w:left w:type="dxa" w:w="140"/>
              <w:bottom w:type="dxa" w:w="80"/>
              <w:right w:type="dxa" w:w="120"/>
            </w:tcMar>
          </w:tcPr>
          <w:p>
            <w:pPr>
              <w:spacing w:after="60"/>
            </w:pPr>
            <w:r>
              <w:rPr>
                <w:b/>
                <w:bCs/>
                <w:sz w:val="24"/>
                <w:szCs w:val="24"/>
              </w:rPr>
              <w:t xml:space="preserve">Population changes are never logged</w:t>
            </w:r>
          </w:p>
          <w:p>
            <w:pPr>
              <w:spacing w:after="60"/>
            </w:pPr>
            <w:r>
              <w:rPr>
                <w:color w:val="333333"/>
                <w:sz w:val="22"/>
                <w:szCs w:val="22"/>
              </w:rPr>
              <w:t xml:space="preserve">In tickHive(), popGain and popLoss are computed and applied every day, but no event is ever pushed to the log for routine growth or decay. Players watch their bee count change between turns with no explanation. Starvation (triggered when storesDays &lt; 5) also silently reduces population and health — the only visual signal is a subtle yellow left border on the hive card.</w:t>
            </w:r>
          </w:p>
          <w:p>
            <w:pPr>
              <w:spacing w:after="0"/>
            </w:pPr>
            <w:r>
              <w:rPr>
                <w:b/>
                <w:bCs/>
                <w:color w:val="1A5276"/>
                <w:sz w:val="22"/>
                <w:szCs w:val="22"/>
              </w:rPr>
              <w:t xml:space="preserve">Recommendation: </w:t>
            </w:r>
            <w:r>
              <w:rPr>
                <w:color w:val="1A5276"/>
                <w:sz w:val="22"/>
                <w:szCs w:val="22"/>
              </w:rPr>
              <w:t xml:space="preserve">Add a periodic (e.g. every 3–5 days) summary event: “Clover grew by 1,200 bees (+brood) but lost 430 to natural attrition.” For starvation, add an immediate bad-tone event: “Clover is starving — stores will last only 2 more days. Population and health are declining.”</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ADADD" w:val="clear"/>
            <w:tcMar>
              <w:top w:type="dxa" w:w="80"/>
              <w:left w:type="dxa" w:w="120"/>
              <w:bottom w:type="dxa" w:w="80"/>
              <w:right w:type="dxa" w:w="120"/>
            </w:tcMar>
            <w:vAlign w:val="center"/>
          </w:tcPr>
          <w:p>
            <w:pPr>
              <w:spacing w:after="0"/>
              <w:jc w:val="center"/>
            </w:pPr>
            <w:r>
              <w:rPr>
                <w:b/>
                <w:bCs/>
                <w:color w:val="333333"/>
                <w:sz w:val="22"/>
                <w:szCs w:val="22"/>
              </w:rPr>
              <w:t xml:space="preserve">P1</w:t>
            </w:r>
            <w:r>
              <w:rPr>
                <w:color w:val="555555"/>
                <w:sz w:val="18"/>
                <w:szCs w:val="18"/>
              </w:rPr>
              <w:t xml:space="preserve">
FB-02</w:t>
            </w:r>
          </w:p>
        </w:tc>
        <w:tc>
          <w:tcPr>
            <w:tcW w:type="dxa" w:w="8160"/>
            <w:tcBorders>
              <w:top w:val="single" w:color="CCCCCC" w:sz="1"/>
              <w:left w:val="single" w:color="CCCCCC" w:sz="1"/>
              <w:bottom w:val="single" w:color="CCCCCC" w:sz="1"/>
              <w:right w:val="single" w:color="CCCCCC" w:sz="1"/>
            </w:tcBorders>
            <w:shd w:fill="FEFEFE" w:val="clear"/>
            <w:tcMar>
              <w:top w:type="dxa" w:w="80"/>
              <w:left w:type="dxa" w:w="140"/>
              <w:bottom w:type="dxa" w:w="80"/>
              <w:right w:type="dxa" w:w="120"/>
            </w:tcMar>
          </w:tcPr>
          <w:p>
            <w:pPr>
              <w:spacing w:after="60"/>
            </w:pPr>
            <w:r>
              <w:rPr>
                <w:b/>
                <w:bCs/>
                <w:sz w:val="24"/>
                <w:szCs w:val="24"/>
              </w:rPr>
              <w:t xml:space="preserve">Health drift is silent and its causes are hidden</w:t>
            </w:r>
          </w:p>
          <w:p>
            <w:pPr>
              <w:spacing w:after="60"/>
            </w:pPr>
            <w:r>
              <w:rPr>
                <w:color w:val="333333"/>
                <w:sz w:val="22"/>
                <w:szCs w:val="22"/>
              </w:rPr>
              <w:t xml:space="preserve">healthDelta is calculated from defense allocation, brood allocation, forage allocation, queen modifiers, and season.death. It is applied every tick but never logged. More importantly, the formula penalises Forage Focus allocation (forageFactor * 0.35 subtracts from health) — a trade-off the player cannot discover through observation alone. Health can drift from 80% to 30% over a winter with no log entry.</w:t>
            </w:r>
          </w:p>
          <w:p>
            <w:pPr>
              <w:spacing w:after="0"/>
            </w:pPr>
            <w:r>
              <w:rPr>
                <w:b/>
                <w:bCs/>
                <w:color w:val="1A5276"/>
                <w:sz w:val="22"/>
                <w:szCs w:val="22"/>
              </w:rPr>
              <w:t xml:space="preserve">Recommendation: </w:t>
            </w:r>
            <w:r>
              <w:rPr>
                <w:color w:val="1A5276"/>
                <w:sz w:val="22"/>
                <w:szCs w:val="22"/>
              </w:rPr>
              <w:t xml:space="preserve">Log a health warning event when health crosses below 50% or drops more than 10 points in a 7-day window. Add a brief tooltip or allocation-details note explaining the health impact of each preset (e.g. “Forage Focus: high honey gain, gradual health cost”).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ADADD" w:val="clear"/>
            <w:tcMar>
              <w:top w:type="dxa" w:w="80"/>
              <w:left w:type="dxa" w:w="120"/>
              <w:bottom w:type="dxa" w:w="80"/>
              <w:right w:type="dxa" w:w="120"/>
            </w:tcMar>
            <w:vAlign w:val="center"/>
          </w:tcPr>
          <w:p>
            <w:pPr>
              <w:spacing w:after="0"/>
              <w:jc w:val="center"/>
            </w:pPr>
            <w:r>
              <w:rPr>
                <w:b/>
                <w:bCs/>
                <w:color w:val="333333"/>
                <w:sz w:val="22"/>
                <w:szCs w:val="22"/>
              </w:rPr>
              <w:t xml:space="preserve">P1</w:t>
            </w:r>
            <w:r>
              <w:rPr>
                <w:color w:val="555555"/>
                <w:sz w:val="18"/>
                <w:szCs w:val="18"/>
              </w:rPr>
              <w:t xml:space="preserve">
FB-03</w:t>
            </w:r>
          </w:p>
        </w:tc>
        <w:tc>
          <w:tcPr>
            <w:tcW w:type="dxa" w:w="8160"/>
            <w:tcBorders>
              <w:top w:val="single" w:color="CCCCCC" w:sz="1"/>
              <w:left w:val="single" w:color="CCCCCC" w:sz="1"/>
              <w:bottom w:val="single" w:color="CCCCCC" w:sz="1"/>
              <w:right w:val="single" w:color="CCCCCC" w:sz="1"/>
            </w:tcBorders>
            <w:shd w:fill="FEFEFE" w:val="clear"/>
            <w:tcMar>
              <w:top w:type="dxa" w:w="80"/>
              <w:left w:type="dxa" w:w="140"/>
              <w:bottom w:type="dxa" w:w="80"/>
              <w:right w:type="dxa" w:w="120"/>
            </w:tcMar>
          </w:tcPr>
          <w:p>
            <w:pPr>
              <w:spacing w:after="60"/>
            </w:pPr>
            <w:r>
              <w:rPr>
                <w:b/>
                <w:bCs/>
                <w:sz w:val="24"/>
                <w:szCs w:val="24"/>
              </w:rPr>
              <w:t xml:space="preserve">Season transitions do not explain consumption changes</w:t>
            </w:r>
          </w:p>
          <w:p>
            <w:pPr>
              <w:spacing w:after="60"/>
            </w:pPr>
            <w:r>
              <w:rPr>
                <w:color w:val="333333"/>
                <w:sz w:val="22"/>
                <w:szCs w:val="22"/>
              </w:rPr>
              <w:t xml:space="preserve">Winter raises honey consumption to 1.8× the base rate, but the transition log message only says “Winter arrives. Focus: Survive.” There is no mention of increased consumption. Players who do not read the source code cannot anticipate the accelerated drain on hive stores. The same applies to Spring's 1.2× brood bonus and Autumn's 1.1× death rate.</w:t>
            </w:r>
          </w:p>
          <w:p>
            <w:pPr>
              <w:spacing w:after="0"/>
            </w:pPr>
            <w:r>
              <w:rPr>
                <w:b/>
                <w:bCs/>
                <w:color w:val="1A5276"/>
                <w:sz w:val="22"/>
                <w:szCs w:val="22"/>
              </w:rPr>
              <w:t xml:space="preserve">Recommendation: </w:t>
            </w:r>
            <w:r>
              <w:rPr>
                <w:color w:val="1A5276"/>
                <w:sz w:val="22"/>
                <w:szCs w:val="22"/>
              </w:rPr>
              <w:t xml:space="preserve">Expand the season transition log message to summarise the key multipliers in plain language. Example: “Winter arrives — bees consume 80% more honey than normal. Keep stores above 5 days of supply.”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AE5D3" w:val="clear"/>
            <w:tcMar>
              <w:top w:type="dxa" w:w="80"/>
              <w:left w:type="dxa" w:w="120"/>
              <w:bottom w:type="dxa" w:w="80"/>
              <w:right w:type="dxa" w:w="120"/>
            </w:tcMar>
            <w:vAlign w:val="center"/>
          </w:tcPr>
          <w:p>
            <w:pPr>
              <w:spacing w:after="0"/>
              <w:jc w:val="center"/>
            </w:pPr>
            <w:r>
              <w:rPr>
                <w:b/>
                <w:bCs/>
                <w:color w:val="333333"/>
                <w:sz w:val="22"/>
                <w:szCs w:val="22"/>
              </w:rPr>
              <w:t xml:space="preserve">P2</w:t>
            </w:r>
            <w:r>
              <w:rPr>
                <w:color w:val="555555"/>
                <w:sz w:val="18"/>
                <w:szCs w:val="18"/>
              </w:rPr>
              <w:t xml:space="preserve">
FB-04</w:t>
            </w:r>
          </w:p>
        </w:tc>
        <w:tc>
          <w:tcPr>
            <w:tcW w:type="dxa" w:w="8160"/>
            <w:tcBorders>
              <w:top w:val="single" w:color="CCCCCC" w:sz="1"/>
              <w:left w:val="single" w:color="CCCCCC" w:sz="1"/>
              <w:bottom w:val="single" w:color="CCCCCC" w:sz="1"/>
              <w:right w:val="single" w:color="CCCCCC" w:sz="1"/>
            </w:tcBorders>
            <w:shd w:fill="FEFEFE" w:val="clear"/>
            <w:tcMar>
              <w:top w:type="dxa" w:w="80"/>
              <w:left w:type="dxa" w:w="140"/>
              <w:bottom w:type="dxa" w:w="80"/>
              <w:right w:type="dxa" w:w="120"/>
            </w:tcMar>
          </w:tcPr>
          <w:p>
            <w:pPr>
              <w:spacing w:after="60"/>
            </w:pPr>
            <w:r>
              <w:rPr>
                <w:b/>
                <w:bCs/>
                <w:sz w:val="24"/>
                <w:szCs w:val="24"/>
              </w:rPr>
              <w:t xml:space="preserve">Threat events hide their actual impact</w:t>
            </w:r>
          </w:p>
          <w:p>
            <w:pPr>
              <w:spacing w:after="60"/>
            </w:pPr>
            <w:r>
              <w:rPr>
                <w:color w:val="333333"/>
                <w:sz w:val="22"/>
                <w:szCs w:val="22"/>
              </w:rPr>
              <w:t xml:space="preserve">When a threat fires, the log entry reads: “Clover faced Varroa Mites (severity 2).” The player sees the severity number (1–3, which is an internal variable) but not the actual consequences — how many bees were lost, how much honey was drained, or how many health points were deducted. This forces players to diff the numbers manually between ticks.</w:t>
            </w:r>
          </w:p>
          <w:p>
            <w:pPr>
              <w:spacing w:after="0"/>
            </w:pPr>
            <w:r>
              <w:rPr>
                <w:b/>
                <w:bCs/>
                <w:color w:val="1A5276"/>
                <w:sz w:val="22"/>
                <w:szCs w:val="22"/>
              </w:rPr>
              <w:t xml:space="preserve">Recommendation: </w:t>
            </w:r>
            <w:r>
              <w:rPr>
                <w:color w:val="1A5276"/>
                <w:sz w:val="22"/>
                <w:szCs w:val="22"/>
              </w:rPr>
              <w:t xml:space="preserve">Append impact figures to the threat event text, using plain language and humanised severity labels. Example: “Clover suffered a moderate Varroa Mite attack. Population fell by ~800 bees, health dropped 9 points.” Replace raw severity integers with “minor” / “moderate” / “severe”.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AE5D3" w:val="clear"/>
            <w:tcMar>
              <w:top w:type="dxa" w:w="80"/>
              <w:left w:type="dxa" w:w="120"/>
              <w:bottom w:type="dxa" w:w="80"/>
              <w:right w:type="dxa" w:w="120"/>
            </w:tcMar>
            <w:vAlign w:val="center"/>
          </w:tcPr>
          <w:p>
            <w:pPr>
              <w:spacing w:after="0"/>
              <w:jc w:val="center"/>
            </w:pPr>
            <w:r>
              <w:rPr>
                <w:b/>
                <w:bCs/>
                <w:color w:val="333333"/>
                <w:sz w:val="22"/>
                <w:szCs w:val="22"/>
              </w:rPr>
              <w:t xml:space="preserve">P2</w:t>
            </w:r>
            <w:r>
              <w:rPr>
                <w:color w:val="555555"/>
                <w:sz w:val="18"/>
                <w:szCs w:val="18"/>
              </w:rPr>
              <w:t xml:space="preserve">
FB-05</w:t>
            </w:r>
          </w:p>
        </w:tc>
        <w:tc>
          <w:tcPr>
            <w:tcW w:type="dxa" w:w="8160"/>
            <w:tcBorders>
              <w:top w:val="single" w:color="CCCCCC" w:sz="1"/>
              <w:left w:val="single" w:color="CCCCCC" w:sz="1"/>
              <w:bottom w:val="single" w:color="CCCCCC" w:sz="1"/>
              <w:right w:val="single" w:color="CCCCCC" w:sz="1"/>
            </w:tcBorders>
            <w:shd w:fill="FEFEFE" w:val="clear"/>
            <w:tcMar>
              <w:top w:type="dxa" w:w="80"/>
              <w:left w:type="dxa" w:w="140"/>
              <w:bottom w:type="dxa" w:w="80"/>
              <w:right w:type="dxa" w:w="120"/>
            </w:tcMar>
          </w:tcPr>
          <w:p>
            <w:pPr>
              <w:spacing w:after="60"/>
            </w:pPr>
            <w:r>
              <w:rPr>
                <w:b/>
                <w:bCs/>
                <w:sz w:val="24"/>
                <w:szCs w:val="24"/>
              </w:rPr>
              <w:t xml:space="preserve">Annual difficulty scaling is never communicated</w:t>
            </w:r>
          </w:p>
          <w:p>
            <w:pPr>
              <w:spacing w:after="60"/>
            </w:pPr>
            <w:r>
              <w:rPr>
                <w:color w:val="333333"/>
                <w:sz w:val="22"/>
                <w:szCs w:val="22"/>
              </w:rPr>
              <w:t xml:space="preserve">difficultyForYear() increases threat probability by 8% per year and reduces honey yield by 4% per year starting from Year 2. This is never surfaced to the player. The Year 2 transition message (“Year 2 begins. Threats intensify across the region.”) is the only hint — but it does not describe the magnitude.</w:t>
            </w:r>
          </w:p>
          <w:p>
            <w:pPr>
              <w:spacing w:after="0"/>
            </w:pPr>
            <w:r>
              <w:rPr>
                <w:b/>
                <w:bCs/>
                <w:color w:val="1A5276"/>
                <w:sz w:val="22"/>
                <w:szCs w:val="22"/>
              </w:rPr>
              <w:t xml:space="preserve">Recommendation: </w:t>
            </w:r>
            <w:r>
              <w:rPr>
                <w:color w:val="1A5276"/>
                <w:sz w:val="22"/>
                <w:szCs w:val="22"/>
              </w:rPr>
              <w:t xml:space="preserve">On the year-change event, include a brief difficulty summary: “Year 2 begins. Threats are 8% more frequent and honey yields are slightly lower. Adapt your strategy.” Consider also adding a persistent difficulty indicator (e.g. a subtle “Threat Level” badge in the hero section).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spacing w:after="0"/>
              <w:jc w:val="center"/>
            </w:pPr>
            <w:r>
              <w:rPr>
                <w:b/>
                <w:bCs/>
                <w:color w:val="333333"/>
                <w:sz w:val="22"/>
                <w:szCs w:val="22"/>
              </w:rPr>
              <w:t xml:space="preserve">P3</w:t>
            </w:r>
            <w:r>
              <w:rPr>
                <w:color w:val="555555"/>
                <w:sz w:val="18"/>
                <w:szCs w:val="18"/>
              </w:rPr>
              <w:t xml:space="preserve">
FB-06</w:t>
            </w:r>
          </w:p>
        </w:tc>
        <w:tc>
          <w:tcPr>
            <w:tcW w:type="dxa" w:w="8160"/>
            <w:tcBorders>
              <w:top w:val="single" w:color="CCCCCC" w:sz="1"/>
              <w:left w:val="single" w:color="CCCCCC" w:sz="1"/>
              <w:bottom w:val="single" w:color="CCCCCC" w:sz="1"/>
              <w:right w:val="single" w:color="CCCCCC" w:sz="1"/>
            </w:tcBorders>
            <w:shd w:fill="FEFEFE" w:val="clear"/>
            <w:tcMar>
              <w:top w:type="dxa" w:w="80"/>
              <w:left w:type="dxa" w:w="140"/>
              <w:bottom w:type="dxa" w:w="80"/>
              <w:right w:type="dxa" w:w="120"/>
            </w:tcMar>
          </w:tcPr>
          <w:p>
            <w:pPr>
              <w:spacing w:after="60"/>
            </w:pPr>
            <w:r>
              <w:rPr>
                <w:b/>
                <w:bCs/>
                <w:sz w:val="24"/>
                <w:szCs w:val="24"/>
              </w:rPr>
              <w:t xml:space="preserve">Objective panel shows pass/fail but not current progress</w:t>
            </w:r>
          </w:p>
          <w:p>
            <w:pPr>
              <w:spacing w:after="60"/>
            </w:pPr>
            <w:r>
              <w:rPr>
                <w:color w:val="333333"/>
                <w:sz w:val="22"/>
                <w:szCs w:val="22"/>
              </w:rPr>
              <w:t xml:space="preserve">The ObjectivePanel renders each victory condition as a binary done/not-done state. Two of the four conditions (stockpile ≥ 220, average health ≥ 70%) are quantitative, but the player sees only a checkbox — not the current value vs. the target. A player at 180/220 jars does not know how close they are.</w:t>
            </w:r>
          </w:p>
          <w:p>
            <w:pPr>
              <w:spacing w:after="0"/>
            </w:pPr>
            <w:r>
              <w:rPr>
                <w:b/>
                <w:bCs/>
                <w:color w:val="1A5276"/>
                <w:sz w:val="22"/>
                <w:szCs w:val="22"/>
              </w:rPr>
              <w:t xml:space="preserve">Recommendation: </w:t>
            </w:r>
            <w:r>
              <w:rPr>
                <w:color w:val="1A5276"/>
                <w:sz w:val="22"/>
                <w:szCs w:val="22"/>
              </w:rPr>
              <w:t xml:space="preserve">Add current-value annotations to each objective row. Example: “Store 220+ honey jars (currently 180)” or a small progress bar. The data is already computed in the provider (game.stockpile, averageHealth) and does not require new state.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spacing w:after="0"/>
              <w:jc w:val="center"/>
            </w:pPr>
            <w:r>
              <w:rPr>
                <w:b/>
                <w:bCs/>
                <w:color w:val="333333"/>
                <w:sz w:val="22"/>
                <w:szCs w:val="22"/>
              </w:rPr>
              <w:t xml:space="preserve">P3</w:t>
            </w:r>
            <w:r>
              <w:rPr>
                <w:color w:val="555555"/>
                <w:sz w:val="18"/>
                <w:szCs w:val="18"/>
              </w:rPr>
              <w:t xml:space="preserve">
FB-07</w:t>
            </w:r>
          </w:p>
        </w:tc>
        <w:tc>
          <w:tcPr>
            <w:tcW w:type="dxa" w:w="8160"/>
            <w:tcBorders>
              <w:top w:val="single" w:color="CCCCCC" w:sz="1"/>
              <w:left w:val="single" w:color="CCCCCC" w:sz="1"/>
              <w:bottom w:val="single" w:color="CCCCCC" w:sz="1"/>
              <w:right w:val="single" w:color="CCCCCC" w:sz="1"/>
            </w:tcBorders>
            <w:shd w:fill="FEFEFE" w:val="clear"/>
            <w:tcMar>
              <w:top w:type="dxa" w:w="80"/>
              <w:left w:type="dxa" w:w="140"/>
              <w:bottom w:type="dxa" w:w="80"/>
              <w:right w:type="dxa" w:w="120"/>
            </w:tcMar>
          </w:tcPr>
          <w:p>
            <w:pPr>
              <w:spacing w:after="60"/>
            </w:pPr>
            <w:r>
              <w:rPr>
                <w:b/>
                <w:bCs/>
                <w:sz w:val="24"/>
                <w:szCs w:val="24"/>
              </w:rPr>
              <w:t xml:space="preserve">Event log is capped at 10 entries and loses week events</w:t>
            </w:r>
          </w:p>
          <w:p>
            <w:pPr>
              <w:spacing w:after="60"/>
            </w:pPr>
            <w:r>
              <w:rPr>
                <w:color w:val="333333"/>
                <w:sz w:val="22"/>
                <w:szCs w:val="22"/>
              </w:rPr>
              <w:t xml:space="preserve">logEvent() slices the event array to 10 entries. When the player advances a week (7 days), each day can generate 1–2 hive events plus seasonal transitions, easily overflowing the cap. Events from early in the week are permanently lost before the player can read them.</w:t>
            </w:r>
          </w:p>
          <w:p>
            <w:pPr>
              <w:spacing w:after="0"/>
            </w:pPr>
            <w:r>
              <w:rPr>
                <w:b/>
                <w:bCs/>
                <w:color w:val="1A5276"/>
                <w:sz w:val="22"/>
                <w:szCs w:val="22"/>
              </w:rPr>
              <w:t xml:space="preserve">Recommendation: </w:t>
            </w:r>
            <w:r>
              <w:rPr>
                <w:color w:val="1A5276"/>
                <w:sz w:val="22"/>
                <w:szCs w:val="22"/>
              </w:rPr>
              <w:t xml:space="preserve">Increase the log cap to 25–30 entries. Alternatively, add a collapsible “full history” section. At minimum, events with critical tone (starvation, collapse warnings) should be pinned at the top rather than falling off the bottom of the list.</w:t>
            </w:r>
          </w:p>
        </w:tc>
      </w:tr>
    </w:tbl>
    <w:p>
      <w:r>
        <w:t xml:space="preserve"/>
      </w:r>
    </w:p>
    <w:p>
      <w:r>
        <w:t xml:space="preserve"/>
      </w:r>
    </w:p>
    <w:p>
      <w:pPr>
        <w:pStyle w:val="Heading1"/>
      </w:pPr>
      <w:r>
        <w:t xml:space="preserve">Category 2: Player Agency</w:t>
      </w:r>
    </w:p>
    <w:p>
      <w:pPr>
        <w:spacing w:after="160"/>
      </w:pPr>
      <w:r>
        <w:rPr>
          <w:sz w:val="24"/>
          <w:szCs w:val="24"/>
        </w:rPr>
        <w:t xml:space="preserve">These issues reduce the sense that player decisions meaningfully change outcomes. The game currently plays more like a passive simulation than an active strategy game.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ADADD" w:val="clear"/>
            <w:tcMar>
              <w:top w:type="dxa" w:w="80"/>
              <w:left w:type="dxa" w:w="120"/>
              <w:bottom w:type="dxa" w:w="80"/>
              <w:right w:type="dxa" w:w="120"/>
            </w:tcMar>
            <w:vAlign w:val="center"/>
          </w:tcPr>
          <w:p>
            <w:pPr>
              <w:spacing w:after="0"/>
              <w:jc w:val="center"/>
            </w:pPr>
            <w:r>
              <w:rPr>
                <w:b/>
                <w:bCs/>
                <w:color w:val="333333"/>
                <w:sz w:val="22"/>
                <w:szCs w:val="22"/>
              </w:rPr>
              <w:t xml:space="preserve">P1</w:t>
            </w:r>
            <w:r>
              <w:rPr>
                <w:color w:val="555555"/>
                <w:sz w:val="18"/>
                <w:szCs w:val="18"/>
              </w:rPr>
              <w:t xml:space="preserve">
PA-01</w:t>
            </w:r>
          </w:p>
        </w:tc>
        <w:tc>
          <w:tcPr>
            <w:tcW w:type="dxa" w:w="8160"/>
            <w:tcBorders>
              <w:top w:val="single" w:color="CCCCCC" w:sz="1"/>
              <w:left w:val="single" w:color="CCCCCC" w:sz="1"/>
              <w:bottom w:val="single" w:color="CCCCCC" w:sz="1"/>
              <w:right w:val="single" w:color="CCCCCC" w:sz="1"/>
            </w:tcBorders>
            <w:shd w:fill="FEFEFE" w:val="clear"/>
            <w:tcMar>
              <w:top w:type="dxa" w:w="80"/>
              <w:left w:type="dxa" w:w="140"/>
              <w:bottom w:type="dxa" w:w="80"/>
              <w:right w:type="dxa" w:w="120"/>
            </w:tcMar>
          </w:tcPr>
          <w:p>
            <w:pPr>
              <w:spacing w:after="60"/>
            </w:pPr>
            <w:r>
              <w:rPr>
                <w:b/>
                <w:bCs/>
                <w:sz w:val="24"/>
                <w:szCs w:val="24"/>
              </w:rPr>
              <w:t xml:space="preserve">No contextual prompts guide allocation changes</w:t>
            </w:r>
          </w:p>
          <w:p>
            <w:pPr>
              <w:spacing w:after="60"/>
            </w:pPr>
            <w:r>
              <w:rPr>
                <w:color w:val="333333"/>
                <w:sz w:val="22"/>
                <w:szCs w:val="22"/>
              </w:rPr>
              <w:t xml:space="preserve">The four allocation presets (Balanced, Forage Focus, Defense Focus, Brood Focus) are set once per hive and rarely revisited because there is no in-game signal that a change would help. The correct seasonal strategy (e.g. switch to Defense Focus before Autumn threats peak, switch to Brood Focus in Spring) is a design secret invisible to players.</w:t>
            </w:r>
          </w:p>
          <w:p>
            <w:pPr>
              <w:spacing w:after="0"/>
            </w:pPr>
            <w:r>
              <w:rPr>
                <w:b/>
                <w:bCs/>
                <w:color w:val="1A5276"/>
                <w:sz w:val="22"/>
                <w:szCs w:val="22"/>
              </w:rPr>
              <w:t xml:space="preserve">Recommendation: </w:t>
            </w:r>
            <w:r>
              <w:rPr>
                <w:color w:val="1A5276"/>
                <w:sz w:val="22"/>
                <w:szCs w:val="22"/>
              </w:rPr>
              <w:t xml:space="preserve">Add advisory hints to the allocation section or the log when conditions align. Examples: “Autumn is approaching — consider Defense Focus to reduce threat damage.”  “Clover's health is dropping — reducing forage allocation would slow the decline.” These can be simple threshold-based rules computed in the provider.</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ADADD" w:val="clear"/>
            <w:tcMar>
              <w:top w:type="dxa" w:w="80"/>
              <w:left w:type="dxa" w:w="120"/>
              <w:bottom w:type="dxa" w:w="80"/>
              <w:right w:type="dxa" w:w="120"/>
            </w:tcMar>
            <w:vAlign w:val="center"/>
          </w:tcPr>
          <w:p>
            <w:pPr>
              <w:spacing w:after="0"/>
              <w:jc w:val="center"/>
            </w:pPr>
            <w:r>
              <w:rPr>
                <w:b/>
                <w:bCs/>
                <w:color w:val="333333"/>
                <w:sz w:val="22"/>
                <w:szCs w:val="22"/>
              </w:rPr>
              <w:t xml:space="preserve">P1</w:t>
            </w:r>
            <w:r>
              <w:rPr>
                <w:color w:val="555555"/>
                <w:sz w:val="18"/>
                <w:szCs w:val="18"/>
              </w:rPr>
              <w:t xml:space="preserve">
PA-02</w:t>
            </w:r>
          </w:p>
        </w:tc>
        <w:tc>
          <w:tcPr>
            <w:tcW w:type="dxa" w:w="8160"/>
            <w:tcBorders>
              <w:top w:val="single" w:color="CCCCCC" w:sz="1"/>
              <w:left w:val="single" w:color="CCCCCC" w:sz="1"/>
              <w:bottom w:val="single" w:color="CCCCCC" w:sz="1"/>
              <w:right w:val="single" w:color="CCCCCC" w:sz="1"/>
            </w:tcBorders>
            <w:shd w:fill="FEFEFE" w:val="clear"/>
            <w:tcMar>
              <w:top w:type="dxa" w:w="80"/>
              <w:left w:type="dxa" w:w="140"/>
              <w:bottom w:type="dxa" w:w="80"/>
              <w:right w:type="dxa" w:w="120"/>
            </w:tcMar>
          </w:tcPr>
          <w:p>
            <w:pPr>
              <w:spacing w:after="60"/>
            </w:pPr>
            <w:r>
              <w:rPr>
                <w:b/>
                <w:bCs/>
                <w:sz w:val="24"/>
                <w:szCs w:val="24"/>
              </w:rPr>
              <w:t xml:space="preserve">Advance Week hides all meaningful daily decisions</w:t>
            </w:r>
          </w:p>
          <w:p>
            <w:pPr>
              <w:spacing w:after="60"/>
            </w:pPr>
            <w:r>
              <w:rPr>
                <w:color w:val="333333"/>
                <w:sz w:val="22"/>
                <w:szCs w:val="22"/>
              </w:rPr>
              <w:t xml:space="preserve">Advancing a week skips 7 decision points at once. Since there is no meaningful difference between decisions on Day 1 vs Day 4 of a week (no time-sensitive actions, no expiring offers), players default to advancing weeks and disengaging from daily management. The game feels passive because there is nothing urgent to react to day-by-day.</w:t>
            </w:r>
          </w:p>
          <w:p>
            <w:pPr>
              <w:spacing w:after="0"/>
            </w:pPr>
            <w:r>
              <w:rPr>
                <w:b/>
                <w:bCs/>
                <w:color w:val="1A5276"/>
                <w:sz w:val="22"/>
                <w:szCs w:val="22"/>
              </w:rPr>
              <w:t xml:space="preserve">Recommendation: </w:t>
            </w:r>
            <w:r>
              <w:rPr>
                <w:color w:val="1A5276"/>
                <w:sz w:val="22"/>
                <w:szCs w:val="22"/>
              </w:rPr>
              <w:t xml:space="preserve">Introduce at least one time-sensitive mechanic that rewards daily attention. Options include: (a) a brief-window positive event (“a local farmer is offering surplus nectar for 24 hours — forage-focused hives get a 1.5× bonus today”), or (b) a threat-warning day where the player sees “Varroa pressure building in the region — treat now for half the impact”. These require only additions to advanceDays().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AE5D3" w:val="clear"/>
            <w:tcMar>
              <w:top w:type="dxa" w:w="80"/>
              <w:left w:type="dxa" w:w="120"/>
              <w:bottom w:type="dxa" w:w="80"/>
              <w:right w:type="dxa" w:w="120"/>
            </w:tcMar>
            <w:vAlign w:val="center"/>
          </w:tcPr>
          <w:p>
            <w:pPr>
              <w:spacing w:after="0"/>
              <w:jc w:val="center"/>
            </w:pPr>
            <w:r>
              <w:rPr>
                <w:b/>
                <w:bCs/>
                <w:color w:val="333333"/>
                <w:sz w:val="22"/>
                <w:szCs w:val="22"/>
              </w:rPr>
              <w:t xml:space="preserve">P2</w:t>
            </w:r>
            <w:r>
              <w:rPr>
                <w:color w:val="555555"/>
                <w:sz w:val="18"/>
                <w:szCs w:val="18"/>
              </w:rPr>
              <w:t xml:space="preserve">
PA-03</w:t>
            </w:r>
          </w:p>
        </w:tc>
        <w:tc>
          <w:tcPr>
            <w:tcW w:type="dxa" w:w="8160"/>
            <w:tcBorders>
              <w:top w:val="single" w:color="CCCCCC" w:sz="1"/>
              <w:left w:val="single" w:color="CCCCCC" w:sz="1"/>
              <w:bottom w:val="single" w:color="CCCCCC" w:sz="1"/>
              <w:right w:val="single" w:color="CCCCCC" w:sz="1"/>
            </w:tcBorders>
            <w:shd w:fill="FEFEFE" w:val="clear"/>
            <w:tcMar>
              <w:top w:type="dxa" w:w="80"/>
              <w:left w:type="dxa" w:w="140"/>
              <w:bottom w:type="dxa" w:w="80"/>
              <w:right w:type="dxa" w:w="120"/>
            </w:tcMar>
          </w:tcPr>
          <w:p>
            <w:pPr>
              <w:spacing w:after="60"/>
            </w:pPr>
            <w:r>
              <w:rPr>
                <w:b/>
                <w:bCs/>
                <w:sz w:val="24"/>
                <w:szCs w:val="24"/>
              </w:rPr>
              <w:t xml:space="preserve">Split is gated behind requirements that are rarely visible</w:t>
            </w:r>
          </w:p>
          <w:p>
            <w:pPr>
              <w:spacing w:after="60"/>
            </w:pPr>
            <w:r>
              <w:rPr>
                <w:color w:val="333333"/>
                <w:sz w:val="22"/>
                <w:szCs w:val="22"/>
              </w:rPr>
              <w:t xml:space="preserve">splitHive() requires 15,000 population AND 12 honey from stockpile. The split button is disabled with no tooltip explaining how far away the hive is from qualifying. Players who have never split may not know the threshold exists. At the same time, a hive that qualifies is given no nudge to take advantage of the moment.</w:t>
            </w:r>
          </w:p>
          <w:p>
            <w:pPr>
              <w:spacing w:after="0"/>
            </w:pPr>
            <w:r>
              <w:rPr>
                <w:b/>
                <w:bCs/>
                <w:color w:val="1A5276"/>
                <w:sz w:val="22"/>
                <w:szCs w:val="22"/>
              </w:rPr>
              <w:t xml:space="preserve">Recommendation: </w:t>
            </w:r>
            <w:r>
              <w:rPr>
                <w:color w:val="1A5276"/>
                <w:sz w:val="22"/>
                <w:szCs w:val="22"/>
              </w:rPr>
              <w:t xml:space="preserve">Show a progress hint on the split button when the hive is close: “Needs 3,200 more bees”. When a hive first becomes eligible, add a good-tone log event: “Clover is strong enough to split — creating a new hive now would expand your apiary.”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AE5D3" w:val="clear"/>
            <w:tcMar>
              <w:top w:type="dxa" w:w="80"/>
              <w:left w:type="dxa" w:w="120"/>
              <w:bottom w:type="dxa" w:w="80"/>
              <w:right w:type="dxa" w:w="120"/>
            </w:tcMar>
            <w:vAlign w:val="center"/>
          </w:tcPr>
          <w:p>
            <w:pPr>
              <w:spacing w:after="0"/>
              <w:jc w:val="center"/>
            </w:pPr>
            <w:r>
              <w:rPr>
                <w:b/>
                <w:bCs/>
                <w:color w:val="333333"/>
                <w:sz w:val="22"/>
                <w:szCs w:val="22"/>
              </w:rPr>
              <w:t xml:space="preserve">P2</w:t>
            </w:r>
            <w:r>
              <w:rPr>
                <w:color w:val="555555"/>
                <w:sz w:val="18"/>
                <w:szCs w:val="18"/>
              </w:rPr>
              <w:t xml:space="preserve">
PA-04</w:t>
            </w:r>
          </w:p>
        </w:tc>
        <w:tc>
          <w:tcPr>
            <w:tcW w:type="dxa" w:w="8160"/>
            <w:tcBorders>
              <w:top w:val="single" w:color="CCCCCC" w:sz="1"/>
              <w:left w:val="single" w:color="CCCCCC" w:sz="1"/>
              <w:bottom w:val="single" w:color="CCCCCC" w:sz="1"/>
              <w:right w:val="single" w:color="CCCCCC" w:sz="1"/>
            </w:tcBorders>
            <w:shd w:fill="FEFEFE" w:val="clear"/>
            <w:tcMar>
              <w:top w:type="dxa" w:w="80"/>
              <w:left w:type="dxa" w:w="140"/>
              <w:bottom w:type="dxa" w:w="80"/>
              <w:right w:type="dxa" w:w="120"/>
            </w:tcMar>
          </w:tcPr>
          <w:p>
            <w:pPr>
              <w:spacing w:after="60"/>
            </w:pPr>
            <w:r>
              <w:rPr>
                <w:b/>
                <w:bCs/>
                <w:sz w:val="24"/>
                <w:szCs w:val="24"/>
              </w:rPr>
              <w:t xml:space="preserve">Queen candidates refresh each season with no notice</w:t>
            </w:r>
          </w:p>
          <w:p>
            <w:pPr>
              <w:spacing w:after="60"/>
            </w:pPr>
            <w:r>
              <w:rPr>
                <w:color w:val="333333"/>
                <w:sz w:val="22"/>
                <w:szCs w:val="22"/>
              </w:rPr>
              <w:t xml:space="preserve">createQueenCandidates() is called on every season transition, silently replacing the three queen candidates. A player who was considering a candidate at the end of Spring will find them gone at the start of Summer. There is no urgency signal, no log message, and no countdown.</w:t>
            </w:r>
          </w:p>
          <w:p>
            <w:pPr>
              <w:spacing w:after="0"/>
            </w:pPr>
            <w:r>
              <w:rPr>
                <w:b/>
                <w:bCs/>
                <w:color w:val="1A5276"/>
                <w:sz w:val="22"/>
                <w:szCs w:val="22"/>
              </w:rPr>
              <w:t xml:space="preserve">Recommendation: </w:t>
            </w:r>
            <w:r>
              <w:rPr>
                <w:color w:val="1A5276"/>
                <w:sz w:val="22"/>
                <w:szCs w:val="22"/>
              </w:rPr>
              <w:t xml:space="preserve">Add a log event 2–3 days before season end: “The season is almost over — this is your last chance to assign a queen from the current yard.” On the Queen Yard panel, show the remaining days in the current season.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AE5D3" w:val="clear"/>
            <w:tcMar>
              <w:top w:type="dxa" w:w="80"/>
              <w:left w:type="dxa" w:w="120"/>
              <w:bottom w:type="dxa" w:w="80"/>
              <w:right w:type="dxa" w:w="120"/>
            </w:tcMar>
            <w:vAlign w:val="center"/>
          </w:tcPr>
          <w:p>
            <w:pPr>
              <w:spacing w:after="0"/>
              <w:jc w:val="center"/>
            </w:pPr>
            <w:r>
              <w:rPr>
                <w:b/>
                <w:bCs/>
                <w:color w:val="333333"/>
                <w:sz w:val="22"/>
                <w:szCs w:val="22"/>
              </w:rPr>
              <w:t xml:space="preserve">P2</w:t>
            </w:r>
            <w:r>
              <w:rPr>
                <w:color w:val="555555"/>
                <w:sz w:val="18"/>
                <w:szCs w:val="18"/>
              </w:rPr>
              <w:t xml:space="preserve">
PA-05</w:t>
            </w:r>
          </w:p>
        </w:tc>
        <w:tc>
          <w:tcPr>
            <w:tcW w:type="dxa" w:w="8160"/>
            <w:tcBorders>
              <w:top w:val="single" w:color="CCCCCC" w:sz="1"/>
              <w:left w:val="single" w:color="CCCCCC" w:sz="1"/>
              <w:bottom w:val="single" w:color="CCCCCC" w:sz="1"/>
              <w:right w:val="single" w:color="CCCCCC" w:sz="1"/>
            </w:tcBorders>
            <w:shd w:fill="FEFEFE" w:val="clear"/>
            <w:tcMar>
              <w:top w:type="dxa" w:w="80"/>
              <w:left w:type="dxa" w:w="140"/>
              <w:bottom w:type="dxa" w:w="80"/>
              <w:right w:type="dxa" w:w="120"/>
            </w:tcMar>
          </w:tcPr>
          <w:p>
            <w:pPr>
              <w:spacing w:after="60"/>
            </w:pPr>
            <w:r>
              <w:rPr>
                <w:b/>
                <w:bCs/>
                <w:sz w:val="24"/>
                <w:szCs w:val="24"/>
              </w:rPr>
              <w:t xml:space="preserve">Hive selection for queen assignment uses two separate, redundant UI paths</w:t>
            </w:r>
          </w:p>
          <w:p>
            <w:pPr>
              <w:spacing w:after="60"/>
            </w:pPr>
            <w:r>
              <w:rPr>
                <w:color w:val="333333"/>
                <w:sz w:val="22"/>
                <w:szCs w:val="22"/>
              </w:rPr>
              <w:t xml:space="preserve">Players can select a hive for queen assignment either by (a) clicking “Select for Queen” on the hive card, or (b) using the dropdown in the Queen Yard panel sidebar. Both paths lead to the same selectedHiveId state, but neither cross-references the other. New players may not discover the card button; experienced players may use the dropdown without realising the button exists.</w:t>
            </w:r>
          </w:p>
          <w:p>
            <w:pPr>
              <w:spacing w:after="0"/>
            </w:pPr>
            <w:r>
              <w:rPr>
                <w:b/>
                <w:bCs/>
                <w:color w:val="1A5276"/>
                <w:sz w:val="22"/>
                <w:szCs w:val="22"/>
              </w:rPr>
              <w:t xml:space="preserve">Recommendation: </w:t>
            </w:r>
            <w:r>
              <w:rPr>
                <w:color w:val="1A5276"/>
                <w:sz w:val="22"/>
                <w:szCs w:val="22"/>
              </w:rPr>
              <w:t xml:space="preserve">Remove the “Select for Queen” button from the hive card and consolidate selection to the Queen Yard dropdown, where the full requeen workflow lives. Alternatively, keep both but add a clear visual cross-reference (e.g. highlight the Queen Yard panel when a hive is selected from the card).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spacing w:after="0"/>
              <w:jc w:val="center"/>
            </w:pPr>
            <w:r>
              <w:rPr>
                <w:b/>
                <w:bCs/>
                <w:color w:val="333333"/>
                <w:sz w:val="22"/>
                <w:szCs w:val="22"/>
              </w:rPr>
              <w:t xml:space="preserve">P3</w:t>
            </w:r>
            <w:r>
              <w:rPr>
                <w:color w:val="555555"/>
                <w:sz w:val="18"/>
                <w:szCs w:val="18"/>
              </w:rPr>
              <w:t xml:space="preserve">
PA-06</w:t>
            </w:r>
          </w:p>
        </w:tc>
        <w:tc>
          <w:tcPr>
            <w:tcW w:type="dxa" w:w="8160"/>
            <w:tcBorders>
              <w:top w:val="single" w:color="CCCCCC" w:sz="1"/>
              <w:left w:val="single" w:color="CCCCCC" w:sz="1"/>
              <w:bottom w:val="single" w:color="CCCCCC" w:sz="1"/>
              <w:right w:val="single" w:color="CCCCCC" w:sz="1"/>
            </w:tcBorders>
            <w:shd w:fill="FEFEFE" w:val="clear"/>
            <w:tcMar>
              <w:top w:type="dxa" w:w="80"/>
              <w:left w:type="dxa" w:w="140"/>
              <w:bottom w:type="dxa" w:w="80"/>
              <w:right w:type="dxa" w:w="120"/>
            </w:tcMar>
          </w:tcPr>
          <w:p>
            <w:pPr>
              <w:spacing w:after="60"/>
            </w:pPr>
            <w:r>
              <w:rPr>
                <w:b/>
                <w:bCs/>
                <w:sz w:val="24"/>
                <w:szCs w:val="24"/>
              </w:rPr>
              <w:t xml:space="preserve">Immunity days are unexplained</w:t>
            </w:r>
          </w:p>
          <w:p>
            <w:pPr>
              <w:spacing w:after="60"/>
            </w:pPr>
            <w:r>
              <w:rPr>
                <w:color w:val="333333"/>
                <w:sz w:val="22"/>
                <w:szCs w:val="22"/>
              </w:rPr>
              <w:t xml:space="preserve">treatHive() grants 10 immunity days, displayed on each hive card as “Immunity: 8 days”. The mechanic (threat chance multiplied by 0.6 when immunityDays &gt; 0) is never explained in the UI. Players cannot evaluate whether treating now vs. later is strategically meaningful.</w:t>
            </w:r>
          </w:p>
          <w:p>
            <w:pPr>
              <w:spacing w:after="0"/>
            </w:pPr>
            <w:r>
              <w:rPr>
                <w:b/>
                <w:bCs/>
                <w:color w:val="1A5276"/>
                <w:sz w:val="22"/>
                <w:szCs w:val="22"/>
              </w:rPr>
              <w:t xml:space="preserve">Recommendation: </w:t>
            </w:r>
            <w:r>
              <w:rPr>
                <w:color w:val="1A5276"/>
                <w:sz w:val="22"/>
                <w:szCs w:val="22"/>
              </w:rPr>
              <w:t xml:space="preserve">Add a tooltip or a small explainer in the hive card: “Immunity reduces threat damage by 40% for the duration.” This is a single-line UI change with no logic modification.</w:t>
            </w:r>
          </w:p>
        </w:tc>
      </w:tr>
    </w:tbl>
    <w:p>
      <w:r>
        <w:t xml:space="preserve"/>
      </w:r>
    </w:p>
    <w:p>
      <w:r>
        <w:t xml:space="preserve"/>
      </w:r>
    </w:p>
    <w:p>
      <w:pPr>
        <w:pStyle w:val="Heading1"/>
      </w:pPr>
      <w:r>
        <w:t xml:space="preserve">Category 3: Game Feel &amp; Polish</w:t>
      </w:r>
    </w:p>
    <w:p>
      <w:pPr>
        <w:spacing w:after="160"/>
      </w:pPr>
      <w:r>
        <w:rPr>
          <w:sz w:val="24"/>
          <w:szCs w:val="24"/>
        </w:rPr>
        <w:t xml:space="preserve">These issues reduce the polish and professionalism of the interface without blocking comprehension. They are quick wins.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AE5D3" w:val="clear"/>
            <w:tcMar>
              <w:top w:type="dxa" w:w="80"/>
              <w:left w:type="dxa" w:w="120"/>
              <w:bottom w:type="dxa" w:w="80"/>
              <w:right w:type="dxa" w:w="120"/>
            </w:tcMar>
            <w:vAlign w:val="center"/>
          </w:tcPr>
          <w:p>
            <w:pPr>
              <w:spacing w:after="0"/>
              <w:jc w:val="center"/>
            </w:pPr>
            <w:r>
              <w:rPr>
                <w:b/>
                <w:bCs/>
                <w:color w:val="333333"/>
                <w:sz w:val="22"/>
                <w:szCs w:val="22"/>
              </w:rPr>
              <w:t xml:space="preserve">P2</w:t>
            </w:r>
            <w:r>
              <w:rPr>
                <w:color w:val="555555"/>
                <w:sz w:val="18"/>
                <w:szCs w:val="18"/>
              </w:rPr>
              <w:t xml:space="preserve">
GF-01</w:t>
            </w:r>
          </w:p>
        </w:tc>
        <w:tc>
          <w:tcPr>
            <w:tcW w:type="dxa" w:w="8160"/>
            <w:tcBorders>
              <w:top w:val="single" w:color="CCCCCC" w:sz="1"/>
              <w:left w:val="single" w:color="CCCCCC" w:sz="1"/>
              <w:bottom w:val="single" w:color="CCCCCC" w:sz="1"/>
              <w:right w:val="single" w:color="CCCCCC" w:sz="1"/>
            </w:tcBorders>
            <w:shd w:fill="FEFEFE" w:val="clear"/>
            <w:tcMar>
              <w:top w:type="dxa" w:w="80"/>
              <w:left w:type="dxa" w:w="140"/>
              <w:bottom w:type="dxa" w:w="80"/>
              <w:right w:type="dxa" w:w="120"/>
            </w:tcMar>
          </w:tcPr>
          <w:p>
            <w:pPr>
              <w:spacing w:after="60"/>
            </w:pPr>
            <w:r>
              <w:rPr>
                <w:b/>
                <w:bCs/>
                <w:sz w:val="24"/>
                <w:szCs w:val="24"/>
              </w:rPr>
              <w:t xml:space="preserve">Health pill has no colour coding for critical states</w:t>
            </w:r>
          </w:p>
          <w:p>
            <w:pPr>
              <w:spacing w:after="60"/>
            </w:pPr>
            <w:r>
              <w:rPr>
                <w:color w:val="333333"/>
                <w:sz w:val="22"/>
                <w:szCs w:val="22"/>
              </w:rPr>
              <w:t xml:space="preserve">The health pill always renders with the same green-tinted background (rgba(89, 124, 98, 0.12)) regardless of health value. A hive at 15% health and a hive at 90% health look nearly identical at a glance. The health bar gradient (green to yellow) does change, but the pill — the most visible health indicator — does not.</w:t>
            </w:r>
          </w:p>
          <w:p>
            <w:pPr>
              <w:spacing w:after="0"/>
            </w:pPr>
            <w:r>
              <w:rPr>
                <w:b/>
                <w:bCs/>
                <w:color w:val="1A5276"/>
                <w:sz w:val="22"/>
                <w:szCs w:val="22"/>
              </w:rPr>
              <w:t xml:space="preserve">Recommendation: </w:t>
            </w:r>
            <w:r>
              <w:rPr>
                <w:color w:val="1A5276"/>
                <w:sz w:val="22"/>
                <w:szCs w:val="22"/>
              </w:rPr>
              <w:t xml:space="preserve">Add a CSS class to the health pill based on health thresholds: green above 60%, amber from 30–60%, red below 30%. The thresholds already exist implicitly in the game (the critical warning fires at 25%). This is a CSS-only change.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AE5D3" w:val="clear"/>
            <w:tcMar>
              <w:top w:type="dxa" w:w="80"/>
              <w:left w:type="dxa" w:w="120"/>
              <w:bottom w:type="dxa" w:w="80"/>
              <w:right w:type="dxa" w:w="120"/>
            </w:tcMar>
            <w:vAlign w:val="center"/>
          </w:tcPr>
          <w:p>
            <w:pPr>
              <w:spacing w:after="0"/>
              <w:jc w:val="center"/>
            </w:pPr>
            <w:r>
              <w:rPr>
                <w:b/>
                <w:bCs/>
                <w:color w:val="333333"/>
                <w:sz w:val="22"/>
                <w:szCs w:val="22"/>
              </w:rPr>
              <w:t xml:space="preserve">P2</w:t>
            </w:r>
            <w:r>
              <w:rPr>
                <w:color w:val="555555"/>
                <w:sz w:val="18"/>
                <w:szCs w:val="18"/>
              </w:rPr>
              <w:t xml:space="preserve">
GF-02</w:t>
            </w:r>
          </w:p>
        </w:tc>
        <w:tc>
          <w:tcPr>
            <w:tcW w:type="dxa" w:w="8160"/>
            <w:tcBorders>
              <w:top w:val="single" w:color="CCCCCC" w:sz="1"/>
              <w:left w:val="single" w:color="CCCCCC" w:sz="1"/>
              <w:bottom w:val="single" w:color="CCCCCC" w:sz="1"/>
              <w:right w:val="single" w:color="CCCCCC" w:sz="1"/>
            </w:tcBorders>
            <w:shd w:fill="FEFEFE" w:val="clear"/>
            <w:tcMar>
              <w:top w:type="dxa" w:w="80"/>
              <w:left w:type="dxa" w:w="140"/>
              <w:bottom w:type="dxa" w:w="80"/>
              <w:right w:type="dxa" w:w="120"/>
            </w:tcMar>
          </w:tcPr>
          <w:p>
            <w:pPr>
              <w:spacing w:after="60"/>
            </w:pPr>
            <w:r>
              <w:rPr>
                <w:b/>
                <w:bCs/>
                <w:sz w:val="24"/>
                <w:szCs w:val="24"/>
              </w:rPr>
              <w:t xml:space="preserve">No population trend indicator</w:t>
            </w:r>
          </w:p>
          <w:p>
            <w:pPr>
              <w:spacing w:after="60"/>
            </w:pPr>
            <w:r>
              <w:rPr>
                <w:color w:val="333333"/>
                <w:sz w:val="22"/>
                <w:szCs w:val="22"/>
              </w:rPr>
              <w:t xml:space="preserve">The population number is displayed as a static value. Players cannot tell at a glance whether a hive is growing or shrinking without comparing values across turns. A declining hive at 14,800 bees and a growing hive at 14,800 bees look identical.</w:t>
            </w:r>
          </w:p>
          <w:p>
            <w:pPr>
              <w:spacing w:after="0"/>
            </w:pPr>
            <w:r>
              <w:rPr>
                <w:b/>
                <w:bCs/>
                <w:color w:val="1A5276"/>
                <w:sz w:val="22"/>
                <w:szCs w:val="22"/>
              </w:rPr>
              <w:t xml:space="preserve">Recommendation: </w:t>
            </w:r>
            <w:r>
              <w:rPr>
                <w:color w:val="1A5276"/>
                <w:sz w:val="22"/>
                <w:szCs w:val="22"/>
              </w:rPr>
              <w:t xml:space="preserve">Track the previous population in state (or derive it from a short rolling window) and display a directional arrow or ± delta next to the population figure. Even a simple “↑” / “↓” icon would provide immediate signal.</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AE5D3" w:val="clear"/>
            <w:tcMar>
              <w:top w:type="dxa" w:w="80"/>
              <w:left w:type="dxa" w:w="120"/>
              <w:bottom w:type="dxa" w:w="80"/>
              <w:right w:type="dxa" w:w="120"/>
            </w:tcMar>
            <w:vAlign w:val="center"/>
          </w:tcPr>
          <w:p>
            <w:pPr>
              <w:spacing w:after="0"/>
              <w:jc w:val="center"/>
            </w:pPr>
            <w:r>
              <w:rPr>
                <w:b/>
                <w:bCs/>
                <w:color w:val="333333"/>
                <w:sz w:val="22"/>
                <w:szCs w:val="22"/>
              </w:rPr>
              <w:t xml:space="preserve">P2</w:t>
            </w:r>
            <w:r>
              <w:rPr>
                <w:color w:val="555555"/>
                <w:sz w:val="18"/>
                <w:szCs w:val="18"/>
              </w:rPr>
              <w:t xml:space="preserve">
GF-03</w:t>
            </w:r>
          </w:p>
        </w:tc>
        <w:tc>
          <w:tcPr>
            <w:tcW w:type="dxa" w:w="8160"/>
            <w:tcBorders>
              <w:top w:val="single" w:color="CCCCCC" w:sz="1"/>
              <w:left w:val="single" w:color="CCCCCC" w:sz="1"/>
              <w:bottom w:val="single" w:color="CCCCCC" w:sz="1"/>
              <w:right w:val="single" w:color="CCCCCC" w:sz="1"/>
            </w:tcBorders>
            <w:shd w:fill="FEFEFE" w:val="clear"/>
            <w:tcMar>
              <w:top w:type="dxa" w:w="80"/>
              <w:left w:type="dxa" w:w="140"/>
              <w:bottom w:type="dxa" w:w="80"/>
              <w:right w:type="dxa" w:w="120"/>
            </w:tcMar>
          </w:tcPr>
          <w:p>
            <w:pPr>
              <w:spacing w:after="60"/>
            </w:pPr>
            <w:r>
              <w:rPr>
                <w:b/>
                <w:bCs/>
                <w:sz w:val="24"/>
                <w:szCs w:val="24"/>
              </w:rPr>
              <w:t xml:space="preserve">Starvation warning is easy to miss</w:t>
            </w:r>
          </w:p>
          <w:p>
            <w:pPr>
              <w:spacing w:after="60"/>
            </w:pPr>
            <w:r>
              <w:rPr>
                <w:color w:val="333333"/>
                <w:sz w:val="22"/>
                <w:szCs w:val="22"/>
              </w:rPr>
              <w:t xml:space="preserve">When storesDays &lt; LOW_STORES_THRESHOLD_DAYS (7 days), the hive card receives a low-stores CSS class that adds a subtle 4px amber left border. This is easy to overlook in peripheral vision, especially when managing multiple hives. There is no corresponding log event, no pulsing animation, and no apiary-level summary alert.</w:t>
            </w:r>
          </w:p>
          <w:p>
            <w:pPr>
              <w:spacing w:after="0"/>
            </w:pPr>
            <w:r>
              <w:rPr>
                <w:b/>
                <w:bCs/>
                <w:color w:val="1A5276"/>
                <w:sz w:val="22"/>
                <w:szCs w:val="22"/>
              </w:rPr>
              <w:t xml:space="preserve">Recommendation: </w:t>
            </w:r>
            <w:r>
              <w:rPr>
                <w:color w:val="1A5276"/>
                <w:sz w:val="22"/>
                <w:szCs w:val="22"/>
              </w:rPr>
              <w:t xml:space="preserve">Add a bad-tone log event the first time a hive enters the starvation threshold: “Clover's stores are critically low — less than 7 days of supply remain.” Consider also adding a pulsing ring or icon to the hive card for immediate visibility. The isLowStores variable is already computed in HivesPanel.tsx.</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spacing w:after="0"/>
              <w:jc w:val="center"/>
            </w:pPr>
            <w:r>
              <w:rPr>
                <w:b/>
                <w:bCs/>
                <w:color w:val="333333"/>
                <w:sz w:val="22"/>
                <w:szCs w:val="22"/>
              </w:rPr>
              <w:t xml:space="preserve">P3</w:t>
            </w:r>
            <w:r>
              <w:rPr>
                <w:color w:val="555555"/>
                <w:sz w:val="18"/>
                <w:szCs w:val="18"/>
              </w:rPr>
              <w:t xml:space="preserve">
GF-04</w:t>
            </w:r>
          </w:p>
        </w:tc>
        <w:tc>
          <w:tcPr>
            <w:tcW w:type="dxa" w:w="8160"/>
            <w:tcBorders>
              <w:top w:val="single" w:color="CCCCCC" w:sz="1"/>
              <w:left w:val="single" w:color="CCCCCC" w:sz="1"/>
              <w:bottom w:val="single" w:color="CCCCCC" w:sz="1"/>
              <w:right w:val="single" w:color="CCCCCC" w:sz="1"/>
            </w:tcBorders>
            <w:shd w:fill="FEFEFE" w:val="clear"/>
            <w:tcMar>
              <w:top w:type="dxa" w:w="80"/>
              <w:left w:type="dxa" w:w="140"/>
              <w:bottom w:type="dxa" w:w="80"/>
              <w:right w:type="dxa" w:w="120"/>
            </w:tcMar>
          </w:tcPr>
          <w:p>
            <w:pPr>
              <w:spacing w:after="60"/>
            </w:pPr>
            <w:r>
              <w:rPr>
                <w:b/>
                <w:bCs/>
                <w:sz w:val="24"/>
                <w:szCs w:val="24"/>
              </w:rPr>
              <w:t xml:space="preserve">The Swarming queen trait is a surprise penalty with no warning</w:t>
            </w:r>
          </w:p>
          <w:p>
            <w:pPr>
              <w:spacing w:after="60"/>
            </w:pPr>
            <w:r>
              <w:rPr>
                <w:color w:val="333333"/>
                <w:sz w:val="22"/>
                <w:szCs w:val="22"/>
              </w:rPr>
              <w:t xml:space="preserve">When a Swarming-trait queen's hive exceeds 22,000 bees and triggers the 3% daily swarm chance, 22% of the population departs. The log message (“Clover swarmed; a cluster departed with 4,840 bees”) appears after the fact. New players who chose the Swarming queen for its +15% honey and +20% brood bonuses will be blindsided.</w:t>
            </w:r>
          </w:p>
          <w:p>
            <w:pPr>
              <w:spacing w:after="0"/>
            </w:pPr>
            <w:r>
              <w:rPr>
                <w:b/>
                <w:bCs/>
                <w:color w:val="1A5276"/>
                <w:sz w:val="22"/>
                <w:szCs w:val="22"/>
              </w:rPr>
              <w:t xml:space="preserve">Recommendation: </w:t>
            </w:r>
            <w:r>
              <w:rPr>
                <w:color w:val="1A5276"/>
                <w:sz w:val="22"/>
                <w:szCs w:val="22"/>
              </w:rPr>
              <w:t xml:space="preserve">When a Swarming-trait hive crosses 20,000 bees, add a warning event: “Clover's Swarming queen is becoming restless — a swarm may depart soon. Consider splitting now to control the loss.” This rewards players who read the log and creates a meaningful anticipation moment.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spacing w:after="0"/>
              <w:jc w:val="center"/>
            </w:pPr>
            <w:r>
              <w:rPr>
                <w:b/>
                <w:bCs/>
                <w:color w:val="333333"/>
                <w:sz w:val="22"/>
                <w:szCs w:val="22"/>
              </w:rPr>
              <w:t xml:space="preserve">P3</w:t>
            </w:r>
            <w:r>
              <w:rPr>
                <w:color w:val="555555"/>
                <w:sz w:val="18"/>
                <w:szCs w:val="18"/>
              </w:rPr>
              <w:t xml:space="preserve">
GF-05</w:t>
            </w:r>
          </w:p>
        </w:tc>
        <w:tc>
          <w:tcPr>
            <w:tcW w:type="dxa" w:w="8160"/>
            <w:tcBorders>
              <w:top w:val="single" w:color="CCCCCC" w:sz="1"/>
              <w:left w:val="single" w:color="CCCCCC" w:sz="1"/>
              <w:bottom w:val="single" w:color="CCCCCC" w:sz="1"/>
              <w:right w:val="single" w:color="CCCCCC" w:sz="1"/>
            </w:tcBorders>
            <w:shd w:fill="FEFEFE" w:val="clear"/>
            <w:tcMar>
              <w:top w:type="dxa" w:w="80"/>
              <w:left w:type="dxa" w:w="140"/>
              <w:bottom w:type="dxa" w:w="80"/>
              <w:right w:type="dxa" w:w="120"/>
            </w:tcMar>
          </w:tcPr>
          <w:p>
            <w:pPr>
              <w:spacing w:after="60"/>
            </w:pPr>
            <w:r>
              <w:rPr>
                <w:b/>
                <w:bCs/>
                <w:sz w:val="24"/>
                <w:szCs w:val="24"/>
              </w:rPr>
              <w:t xml:space="preserve">Win / loss banners show no statistics or context</w:t>
            </w:r>
          </w:p>
          <w:p>
            <w:pPr>
              <w:spacing w:after="60"/>
            </w:pPr>
            <w:r>
              <w:rPr>
                <w:color w:val="333333"/>
                <w:sz w:val="22"/>
                <w:szCs w:val="22"/>
              </w:rPr>
              <w:t xml:space="preserve">StatusBannerWon renders “Golden Harvest Achieved” and StatusBannerLost renders “Apiary Lost” — one line of title and one line of body text each. There is no recap of what happened, how many seasons the player survived, or what their peak stockpile was.</w:t>
            </w:r>
          </w:p>
          <w:p>
            <w:pPr>
              <w:spacing w:after="0"/>
            </w:pPr>
            <w:r>
              <w:rPr>
                <w:b/>
                <w:bCs/>
                <w:color w:val="1A5276"/>
                <w:sz w:val="22"/>
                <w:szCs w:val="22"/>
              </w:rPr>
              <w:t xml:space="preserve">Recommendation: </w:t>
            </w:r>
            <w:r>
              <w:rPr>
                <w:color w:val="1A5276"/>
                <w:sz w:val="22"/>
                <w:szCs w:val="22"/>
              </w:rPr>
              <w:t xml:space="preserve">Expand both banners to show a brief end-state summary: days survived, peak population reached, honey stockpile at end, number of collapses. This data is all available in GameState. A short recap increases emotional closure and gives players a goal to beat on the next run.</w:t>
            </w:r>
          </w:p>
        </w:tc>
      </w:tr>
    </w:tbl>
    <w:p>
      <w:r>
        <w:t xml:space="preserve"/>
      </w:r>
    </w:p>
    <w:p>
      <w:r>
        <w:t xml:space="preserve"/>
      </w:r>
    </w:p>
    <w:p>
      <w:pPr>
        <w:pStyle w:val="Heading1"/>
      </w:pPr>
      <w:r>
        <w:t xml:space="preserve">Category 4: Game Balance</w:t>
      </w:r>
    </w:p>
    <w:p>
      <w:pPr>
        <w:spacing w:after="160"/>
      </w:pPr>
      <w:r>
        <w:rPr>
          <w:sz w:val="24"/>
          <w:szCs w:val="24"/>
        </w:rPr>
        <w:t xml:space="preserve">These issues affect how fair and legible the progression feels over a full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ADADD" w:val="clear"/>
            <w:tcMar>
              <w:top w:type="dxa" w:w="80"/>
              <w:left w:type="dxa" w:w="120"/>
              <w:bottom w:type="dxa" w:w="80"/>
              <w:right w:type="dxa" w:w="120"/>
            </w:tcMar>
            <w:vAlign w:val="center"/>
          </w:tcPr>
          <w:p>
            <w:pPr>
              <w:spacing w:after="0"/>
              <w:jc w:val="center"/>
            </w:pPr>
            <w:r>
              <w:rPr>
                <w:b/>
                <w:bCs/>
                <w:color w:val="333333"/>
                <w:sz w:val="22"/>
                <w:szCs w:val="22"/>
              </w:rPr>
              <w:t xml:space="preserve">P1</w:t>
            </w:r>
            <w:r>
              <w:rPr>
                <w:color w:val="555555"/>
                <w:sz w:val="18"/>
                <w:szCs w:val="18"/>
              </w:rPr>
              <w:t xml:space="preserve">
GB-01</w:t>
            </w:r>
          </w:p>
        </w:tc>
        <w:tc>
          <w:tcPr>
            <w:tcW w:type="dxa" w:w="8160"/>
            <w:tcBorders>
              <w:top w:val="single" w:color="CCCCCC" w:sz="1"/>
              <w:left w:val="single" w:color="CCCCCC" w:sz="1"/>
              <w:bottom w:val="single" w:color="CCCCCC" w:sz="1"/>
              <w:right w:val="single" w:color="CCCCCC" w:sz="1"/>
            </w:tcBorders>
            <w:shd w:fill="FEFEFE" w:val="clear"/>
            <w:tcMar>
              <w:top w:type="dxa" w:w="80"/>
              <w:left w:type="dxa" w:w="140"/>
              <w:bottom w:type="dxa" w:w="80"/>
              <w:right w:type="dxa" w:w="120"/>
            </w:tcMar>
          </w:tcPr>
          <w:p>
            <w:pPr>
              <w:spacing w:after="60"/>
            </w:pPr>
            <w:r>
              <w:rPr>
                <w:b/>
                <w:bCs/>
                <w:sz w:val="24"/>
                <w:szCs w:val="24"/>
              </w:rPr>
              <w:t xml:space="preserve">Forage Focus allocation silently degrades health</w:t>
            </w:r>
          </w:p>
          <w:p>
            <w:pPr>
              <w:spacing w:after="60"/>
            </w:pPr>
            <w:r>
              <w:rPr>
                <w:color w:val="333333"/>
                <w:sz w:val="22"/>
                <w:szCs w:val="22"/>
              </w:rPr>
              <w:t xml:space="preserve">The healthDelta formula in tickHive() subtracts forageFactor * 0.35, meaning a hive on Forage Focus loses about 0.35 * 0.6 ≈ 0.21 health points per day from foraging alone, on top of the seasonal death penalty. Over a 30-day season, Forage Focus can drain 6+ health points compared to Balanced — invisible to the player. This creates a trap where the most productive allocation slowly kills the hive.</w:t>
            </w:r>
          </w:p>
          <w:p>
            <w:pPr>
              <w:spacing w:after="0"/>
            </w:pPr>
            <w:r>
              <w:rPr>
                <w:b/>
                <w:bCs/>
                <w:color w:val="1A5276"/>
                <w:sz w:val="22"/>
                <w:szCs w:val="22"/>
              </w:rPr>
              <w:t xml:space="preserve">Recommendation: </w:t>
            </w:r>
            <w:r>
              <w:rPr>
                <w:color w:val="1A5276"/>
                <w:sz w:val="22"/>
                <w:szCs w:val="22"/>
              </w:rPr>
              <w:t xml:space="preserve">Either surface this trade-off explicitly in the allocation UI (“Forage Focus: gradual health cost”), or add a health modifier tooltip per preset. If the health cost is intentional as a strategic trade-off, it must be legible; if it is unintentional, consider reducing the forageFactor penalty coefficient.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AE5D3" w:val="clear"/>
            <w:tcMar>
              <w:top w:type="dxa" w:w="80"/>
              <w:left w:type="dxa" w:w="120"/>
              <w:bottom w:type="dxa" w:w="80"/>
              <w:right w:type="dxa" w:w="120"/>
            </w:tcMar>
            <w:vAlign w:val="center"/>
          </w:tcPr>
          <w:p>
            <w:pPr>
              <w:spacing w:after="0"/>
              <w:jc w:val="center"/>
            </w:pPr>
            <w:r>
              <w:rPr>
                <w:b/>
                <w:bCs/>
                <w:color w:val="333333"/>
                <w:sz w:val="22"/>
                <w:szCs w:val="22"/>
              </w:rPr>
              <w:t xml:space="preserve">P2</w:t>
            </w:r>
            <w:r>
              <w:rPr>
                <w:color w:val="555555"/>
                <w:sz w:val="18"/>
                <w:szCs w:val="18"/>
              </w:rPr>
              <w:t xml:space="preserve">
GB-02</w:t>
            </w:r>
          </w:p>
        </w:tc>
        <w:tc>
          <w:tcPr>
            <w:tcW w:type="dxa" w:w="8160"/>
            <w:tcBorders>
              <w:top w:val="single" w:color="CCCCCC" w:sz="1"/>
              <w:left w:val="single" w:color="CCCCCC" w:sz="1"/>
              <w:bottom w:val="single" w:color="CCCCCC" w:sz="1"/>
              <w:right w:val="single" w:color="CCCCCC" w:sz="1"/>
            </w:tcBorders>
            <w:shd w:fill="FEFEFE" w:val="clear"/>
            <w:tcMar>
              <w:top w:type="dxa" w:w="80"/>
              <w:left w:type="dxa" w:w="140"/>
              <w:bottom w:type="dxa" w:w="80"/>
              <w:right w:type="dxa" w:w="120"/>
            </w:tcMar>
          </w:tcPr>
          <w:p>
            <w:pPr>
              <w:spacing w:after="60"/>
            </w:pPr>
            <w:r>
              <w:rPr>
                <w:b/>
                <w:bCs/>
                <w:sz w:val="24"/>
                <w:szCs w:val="24"/>
              </w:rPr>
              <w:t xml:space="preserve">Winter + stockpile requirement creates a silent failure spiral</w:t>
            </w:r>
          </w:p>
          <w:p>
            <w:pPr>
              <w:spacing w:after="60"/>
            </w:pPr>
            <w:r>
              <w:rPr>
                <w:color w:val="333333"/>
                <w:sz w:val="22"/>
                <w:szCs w:val="22"/>
              </w:rPr>
              <w:t xml:space="preserve">The victory condition requires 220 stockpile honey at Year 3. Winter consumption multiplier is 1.8×. If a player enters Winter of Year 2 short on stockpile and advances time to accumulate more jars, Winter actively drains hive honey faster than it can be replenished (season.honey = 0.3), making it impossible to harvest enough. The player can advance dozens of days before realising they are in an unwinnable state.</w:t>
            </w:r>
          </w:p>
          <w:p>
            <w:pPr>
              <w:spacing w:after="0"/>
            </w:pPr>
            <w:r>
              <w:rPr>
                <w:b/>
                <w:bCs/>
                <w:color w:val="1A5276"/>
                <w:sz w:val="22"/>
                <w:szCs w:val="22"/>
              </w:rPr>
              <w:t xml:space="preserve">Recommendation: </w:t>
            </w:r>
            <w:r>
              <w:rPr>
                <w:color w:val="1A5276"/>
                <w:sz w:val="22"/>
                <w:szCs w:val="22"/>
              </w:rPr>
              <w:t xml:space="preserve">Add a late-game advisory when the player approaches Year 3 with an unfavourable stockpile trajectory: “You need 40 more jars to win. Winter is coming — harvest now while Summer stores are still high.” Consider also adding an intermediate milestone or a “forecast” display showing projected stockpile at Year 3 based on current trajectory.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spacing w:after="0"/>
              <w:jc w:val="center"/>
            </w:pPr>
            <w:r>
              <w:rPr>
                <w:b/>
                <w:bCs/>
                <w:color w:val="333333"/>
                <w:sz w:val="22"/>
                <w:szCs w:val="22"/>
              </w:rPr>
              <w:t xml:space="preserve">P3</w:t>
            </w:r>
            <w:r>
              <w:rPr>
                <w:color w:val="555555"/>
                <w:sz w:val="18"/>
                <w:szCs w:val="18"/>
              </w:rPr>
              <w:t xml:space="preserve">
GB-03</w:t>
            </w:r>
          </w:p>
        </w:tc>
        <w:tc>
          <w:tcPr>
            <w:tcW w:type="dxa" w:w="8160"/>
            <w:tcBorders>
              <w:top w:val="single" w:color="CCCCCC" w:sz="1"/>
              <w:left w:val="single" w:color="CCCCCC" w:sz="1"/>
              <w:bottom w:val="single" w:color="CCCCCC" w:sz="1"/>
              <w:right w:val="single" w:color="CCCCCC" w:sz="1"/>
            </w:tcBorders>
            <w:shd w:fill="FEFEFE" w:val="clear"/>
            <w:tcMar>
              <w:top w:type="dxa" w:w="80"/>
              <w:left w:type="dxa" w:w="140"/>
              <w:bottom w:type="dxa" w:w="80"/>
              <w:right w:type="dxa" w:w="120"/>
            </w:tcMar>
          </w:tcPr>
          <w:p>
            <w:pPr>
              <w:spacing w:after="60"/>
            </w:pPr>
            <w:r>
              <w:rPr>
                <w:b/>
                <w:bCs/>
                <w:sz w:val="24"/>
                <w:szCs w:val="24"/>
              </w:rPr>
              <w:t xml:space="preserve">Queen candidates do not reflect hive-specific needs</w:t>
            </w:r>
          </w:p>
          <w:p>
            <w:pPr>
              <w:spacing w:after="60"/>
            </w:pPr>
            <w:r>
              <w:rPr>
                <w:color w:val="333333"/>
                <w:sz w:val="22"/>
                <w:szCs w:val="22"/>
              </w:rPr>
              <w:t xml:space="preserve">createQueenCandidates() always returns 3 random queen traits from the full pool, with no weighting based on the current game state. A player whose hives are all at 20% health will see the same random selection as a player with healthy hives. The queen system feels arbitrary rather than responsive.</w:t>
            </w:r>
          </w:p>
          <w:p>
            <w:pPr>
              <w:spacing w:after="0"/>
            </w:pPr>
            <w:r>
              <w:rPr>
                <w:b/>
                <w:bCs/>
                <w:color w:val="1A5276"/>
                <w:sz w:val="22"/>
                <w:szCs w:val="22"/>
              </w:rPr>
              <w:t xml:space="preserve">Recommendation: </w:t>
            </w:r>
            <w:r>
              <w:rPr>
                <w:color w:val="1A5276"/>
                <w:sz w:val="22"/>
                <w:szCs w:val="22"/>
              </w:rPr>
              <w:t xml:space="preserve">Lightly weight queen candidate generation toward traits that address the current apiary state. For example, if average health is below 50%, increase the probability of Hardy and Hygienic queens appearing. This requires only a small modification to the weighted selection logic and makes the queen yard feel relevant.</w:t>
            </w:r>
          </w:p>
        </w:tc>
      </w:tr>
    </w:tbl>
    <w:p>
      <w:r>
        <w:t xml:space="preserve"/>
      </w:r>
    </w:p>
    <w:p>
      <w:r>
        <w:t xml:space="preserve"/>
      </w:r>
    </w:p>
    <w:p>
      <w:r>
        <w:t xml:space="preserve"/>
      </w:r>
    </w:p>
    <w:p>
      <w:pPr>
        <w:pStyle w:val="Heading1"/>
      </w:pPr>
      <w:r>
        <w:t xml:space="preserve">Priority Summary</w:t>
      </w:r>
    </w:p>
    <w:p>
      <w:pPr>
        <w:spacing w:after="160"/>
      </w:pPr>
      <w:r>
        <w:rPr>
          <w:sz w:val="24"/>
          <w:szCs w:val="24"/>
        </w:rPr>
        <w:t xml:space="preserve">The table below lists all 17 findings ordered by recommended implementation priority. The highest-impact changes are the feedback improvements (FB-01 through FB-05), which can be addressed entirely within tickHive() and advanceDays() in game.ts without touching any UI code.</w:t>
      </w:r>
    </w:p>
    <w:p>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F5C842" w:val="clear"/>
            <w:tcMar>
              <w:top w:type="dxa" w:w="80"/>
              <w:left w:type="dxa" w:w="120"/>
              <w:bottom w:type="dxa" w:w="80"/>
              <w:right w:type="dxa" w:w="120"/>
            </w:tcMar>
          </w:tcPr>
          <w:p>
            <w:pPr>
              <w:spacing w:after="0"/>
            </w:pPr>
            <w:r>
              <w:rPr>
                <w:b/>
                <w:bCs/>
                <w:sz w:val="22"/>
                <w:szCs w:val="22"/>
              </w:rPr>
              <w:t xml:space="preserve">Finding</w:t>
            </w:r>
          </w:p>
        </w:tc>
        <w:tc>
          <w:tcPr>
            <w:tcW w:type="dxa" w:w="8160"/>
            <w:tcBorders>
              <w:top w:val="single" w:color="CCCCCC" w:sz="1"/>
              <w:left w:val="single" w:color="CCCCCC" w:sz="1"/>
              <w:bottom w:val="single" w:color="CCCCCC" w:sz="1"/>
              <w:right w:val="single" w:color="CCCCCC" w:sz="1"/>
            </w:tcBorders>
            <w:shd w:fill="F5C842" w:val="clear"/>
            <w:tcMar>
              <w:top w:type="dxa" w:w="80"/>
              <w:left w:type="dxa" w:w="120"/>
              <w:bottom w:type="dxa" w:w="80"/>
              <w:right w:type="dxa" w:w="120"/>
            </w:tcMar>
          </w:tcPr>
          <w:p>
            <w:pPr>
              <w:spacing w:after="0"/>
            </w:pPr>
            <w:r>
              <w:rPr>
                <w:b/>
                <w:bCs/>
                <w:sz w:val="22"/>
                <w:szCs w:val="22"/>
              </w:rPr>
              <w:t xml:space="preserve">Title</w:t>
            </w:r>
          </w:p>
        </w:tc>
      </w:tr>
      <w:tr>
        <w:trPr>
          <w:tblHeader w:val="false"/>
        </w:trPr>
        <w:tc>
          <w:tcPr>
            <w:tcW w:type="dxa" w:w="12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pPr>
              <w:spacing w:after="0"/>
            </w:pPr>
            <w:r>
              <w:rPr>
                <w:b/>
                <w:bCs/>
                <w:color w:val="C0392B"/>
                <w:sz w:val="22"/>
                <w:szCs w:val="22"/>
              </w:rPr>
              <w:t xml:space="preserve">FB-01</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sz w:val="22"/>
                <w:szCs w:val="22"/>
              </w:rPr>
              <w:t xml:space="preserve">Log starvation and daily population change events</w:t>
            </w:r>
          </w:p>
        </w:tc>
      </w:tr>
      <w:tr>
        <w:trPr>
          <w:tblHeader w:val="false"/>
        </w:trPr>
        <w:tc>
          <w:tcPr>
            <w:tcW w:type="dxa" w:w="12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pPr>
              <w:spacing w:after="0"/>
            </w:pPr>
            <w:r>
              <w:rPr>
                <w:b/>
                <w:bCs/>
                <w:color w:val="C0392B"/>
                <w:sz w:val="22"/>
                <w:szCs w:val="22"/>
              </w:rPr>
              <w:t xml:space="preserve">FB-02</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sz w:val="22"/>
                <w:szCs w:val="22"/>
              </w:rPr>
              <w:t xml:space="preserve">Log health drift warnings; document allocation health trade-offs</w:t>
            </w:r>
          </w:p>
        </w:tc>
      </w:tr>
      <w:tr>
        <w:trPr>
          <w:tblHeader w:val="false"/>
        </w:trPr>
        <w:tc>
          <w:tcPr>
            <w:tcW w:type="dxa" w:w="12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pPr>
              <w:spacing w:after="0"/>
            </w:pPr>
            <w:r>
              <w:rPr>
                <w:b/>
                <w:bCs/>
                <w:color w:val="C0392B"/>
                <w:sz w:val="22"/>
                <w:szCs w:val="22"/>
              </w:rPr>
              <w:t xml:space="preserve">FB-03</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sz w:val="22"/>
                <w:szCs w:val="22"/>
              </w:rPr>
              <w:t xml:space="preserve">Expand season transition messages with consumption context</w:t>
            </w:r>
          </w:p>
        </w:tc>
      </w:tr>
      <w:tr>
        <w:trPr>
          <w:tblHeader w:val="false"/>
        </w:trPr>
        <w:tc>
          <w:tcPr>
            <w:tcW w:type="dxa" w:w="12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pPr>
              <w:spacing w:after="0"/>
            </w:pPr>
            <w:r>
              <w:rPr>
                <w:b/>
                <w:bCs/>
                <w:color w:val="C0392B"/>
                <w:sz w:val="22"/>
                <w:szCs w:val="22"/>
              </w:rPr>
              <w:t xml:space="preserve">PA-01</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sz w:val="22"/>
                <w:szCs w:val="22"/>
              </w:rPr>
              <w:t xml:space="preserve">Add contextual allocation change prompts</w:t>
            </w:r>
          </w:p>
        </w:tc>
      </w:tr>
      <w:tr>
        <w:trPr>
          <w:tblHeader w:val="false"/>
        </w:trPr>
        <w:tc>
          <w:tcPr>
            <w:tcW w:type="dxa" w:w="12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pPr>
              <w:spacing w:after="0"/>
            </w:pPr>
            <w:r>
              <w:rPr>
                <w:b/>
                <w:bCs/>
                <w:color w:val="C0392B"/>
                <w:sz w:val="22"/>
                <w:szCs w:val="22"/>
              </w:rPr>
              <w:t xml:space="preserve">PA-02</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sz w:val="22"/>
                <w:szCs w:val="22"/>
              </w:rPr>
              <w:t xml:space="preserve">Introduce time-sensitive events to reward daily play</w:t>
            </w:r>
          </w:p>
        </w:tc>
      </w:tr>
      <w:tr>
        <w:trPr>
          <w:tblHeader w:val="false"/>
        </w:trPr>
        <w:tc>
          <w:tcPr>
            <w:tcW w:type="dxa" w:w="12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pPr>
              <w:spacing w:after="0"/>
            </w:pPr>
            <w:r>
              <w:rPr>
                <w:b/>
                <w:bCs/>
                <w:color w:val="C0392B"/>
                <w:sz w:val="22"/>
                <w:szCs w:val="22"/>
              </w:rPr>
              <w:t xml:space="preserve">GB-01</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sz w:val="22"/>
                <w:szCs w:val="22"/>
              </w:rPr>
              <w:t xml:space="preserve">Surface Forage Focus health cost in the UI</w:t>
            </w:r>
          </w:p>
        </w:tc>
      </w:tr>
      <w:tr>
        <w:trPr>
          <w:tblHeader w:val="false"/>
        </w:trPr>
        <w:tc>
          <w:tcPr>
            <w:tcW w:type="dxa" w:w="12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pPr>
              <w:spacing w:after="0"/>
            </w:pPr>
            <w:r>
              <w:rPr>
                <w:b/>
                <w:bCs/>
                <w:color w:val="E67E22"/>
                <w:sz w:val="22"/>
                <w:szCs w:val="22"/>
              </w:rPr>
              <w:t xml:space="preserve">FB-04</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sz w:val="22"/>
                <w:szCs w:val="22"/>
              </w:rPr>
              <w:t xml:space="preserve">Rewrite threat events with impact figures and plain-language severity</w:t>
            </w:r>
          </w:p>
        </w:tc>
      </w:tr>
      <w:tr>
        <w:trPr>
          <w:tblHeader w:val="false"/>
        </w:trPr>
        <w:tc>
          <w:tcPr>
            <w:tcW w:type="dxa" w:w="12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pPr>
              <w:spacing w:after="0"/>
            </w:pPr>
            <w:r>
              <w:rPr>
                <w:b/>
                <w:bCs/>
                <w:color w:val="E67E22"/>
                <w:sz w:val="22"/>
                <w:szCs w:val="22"/>
              </w:rPr>
              <w:t xml:space="preserve">FB-05</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sz w:val="22"/>
                <w:szCs w:val="22"/>
              </w:rPr>
              <w:t xml:space="preserve">Communicate annual difficulty scaling on year transition</w:t>
            </w:r>
          </w:p>
        </w:tc>
      </w:tr>
      <w:tr>
        <w:trPr>
          <w:tblHeader w:val="false"/>
        </w:trPr>
        <w:tc>
          <w:tcPr>
            <w:tcW w:type="dxa" w:w="12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pPr>
              <w:spacing w:after="0"/>
            </w:pPr>
            <w:r>
              <w:rPr>
                <w:b/>
                <w:bCs/>
                <w:color w:val="E67E22"/>
                <w:sz w:val="22"/>
                <w:szCs w:val="22"/>
              </w:rPr>
              <w:t xml:space="preserve">PA-03</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sz w:val="22"/>
                <w:szCs w:val="22"/>
              </w:rPr>
              <w:t xml:space="preserve">Show split eligibility progress and trigger a nudge event</w:t>
            </w:r>
          </w:p>
        </w:tc>
      </w:tr>
      <w:tr>
        <w:trPr>
          <w:tblHeader w:val="false"/>
        </w:trPr>
        <w:tc>
          <w:tcPr>
            <w:tcW w:type="dxa" w:w="12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pPr>
              <w:spacing w:after="0"/>
            </w:pPr>
            <w:r>
              <w:rPr>
                <w:b/>
                <w:bCs/>
                <w:color w:val="E67E22"/>
                <w:sz w:val="22"/>
                <w:szCs w:val="22"/>
              </w:rPr>
              <w:t xml:space="preserve">PA-04</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sz w:val="22"/>
                <w:szCs w:val="22"/>
              </w:rPr>
              <w:t xml:space="preserve">Warn player before queen candidates expire at season end</w:t>
            </w:r>
          </w:p>
        </w:tc>
      </w:tr>
      <w:tr>
        <w:trPr>
          <w:tblHeader w:val="false"/>
        </w:trPr>
        <w:tc>
          <w:tcPr>
            <w:tcW w:type="dxa" w:w="12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pPr>
              <w:spacing w:after="0"/>
            </w:pPr>
            <w:r>
              <w:rPr>
                <w:b/>
                <w:bCs/>
                <w:color w:val="E67E22"/>
                <w:sz w:val="22"/>
                <w:szCs w:val="22"/>
              </w:rPr>
              <w:t xml:space="preserve">PA-05</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sz w:val="22"/>
                <w:szCs w:val="22"/>
              </w:rPr>
              <w:t xml:space="preserve">Consolidate queen selection to a single UI path</w:t>
            </w:r>
          </w:p>
        </w:tc>
      </w:tr>
      <w:tr>
        <w:trPr>
          <w:tblHeader w:val="false"/>
        </w:trPr>
        <w:tc>
          <w:tcPr>
            <w:tcW w:type="dxa" w:w="12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pPr>
              <w:spacing w:after="0"/>
            </w:pPr>
            <w:r>
              <w:rPr>
                <w:b/>
                <w:bCs/>
                <w:color w:val="E67E22"/>
                <w:sz w:val="22"/>
                <w:szCs w:val="22"/>
              </w:rPr>
              <w:t xml:space="preserve">GF-01</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sz w:val="22"/>
                <w:szCs w:val="22"/>
              </w:rPr>
              <w:t xml:space="preserve">Colour-code the health pill by threshold</w:t>
            </w:r>
          </w:p>
        </w:tc>
      </w:tr>
      <w:tr>
        <w:trPr>
          <w:tblHeader w:val="false"/>
        </w:trPr>
        <w:tc>
          <w:tcPr>
            <w:tcW w:type="dxa" w:w="12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pPr>
              <w:spacing w:after="0"/>
            </w:pPr>
            <w:r>
              <w:rPr>
                <w:b/>
                <w:bCs/>
                <w:color w:val="E67E22"/>
                <w:sz w:val="22"/>
                <w:szCs w:val="22"/>
              </w:rPr>
              <w:t xml:space="preserve">GF-02</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sz w:val="22"/>
                <w:szCs w:val="22"/>
              </w:rPr>
              <w:t xml:space="preserve">Show population trend delta next to hive population figure</w:t>
            </w:r>
          </w:p>
        </w:tc>
      </w:tr>
      <w:tr>
        <w:trPr>
          <w:tblHeader w:val="false"/>
        </w:trPr>
        <w:tc>
          <w:tcPr>
            <w:tcW w:type="dxa" w:w="12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pPr>
              <w:spacing w:after="0"/>
            </w:pPr>
            <w:r>
              <w:rPr>
                <w:b/>
                <w:bCs/>
                <w:color w:val="E67E22"/>
                <w:sz w:val="22"/>
                <w:szCs w:val="22"/>
              </w:rPr>
              <w:t xml:space="preserve">GF-03</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sz w:val="22"/>
                <w:szCs w:val="22"/>
              </w:rPr>
              <w:t xml:space="preserve">Add a log event and stronger visual for starvation threshold</w:t>
            </w:r>
          </w:p>
        </w:tc>
      </w:tr>
      <w:tr>
        <w:trPr>
          <w:tblHeader w:val="false"/>
        </w:trPr>
        <w:tc>
          <w:tcPr>
            <w:tcW w:type="dxa" w:w="12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pPr>
              <w:spacing w:after="0"/>
            </w:pPr>
            <w:r>
              <w:rPr>
                <w:b/>
                <w:bCs/>
                <w:color w:val="E67E22"/>
                <w:sz w:val="22"/>
                <w:szCs w:val="22"/>
              </w:rPr>
              <w:t xml:space="preserve">GB-02</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sz w:val="22"/>
                <w:szCs w:val="22"/>
              </w:rPr>
              <w:t xml:space="preserve">Add late-game stockpile trajectory advisory</w:t>
            </w:r>
          </w:p>
        </w:tc>
      </w:tr>
      <w:tr>
        <w:trPr>
          <w:tblHeader w:val="false"/>
        </w:trPr>
        <w:tc>
          <w:tcPr>
            <w:tcW w:type="dxa" w:w="12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pPr>
              <w:spacing w:after="0"/>
            </w:pPr>
            <w:r>
              <w:rPr>
                <w:b/>
                <w:bCs/>
                <w:color w:val="27AE60"/>
                <w:sz w:val="22"/>
                <w:szCs w:val="22"/>
              </w:rPr>
              <w:t xml:space="preserve">FB-06</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sz w:val="22"/>
                <w:szCs w:val="22"/>
              </w:rPr>
              <w:t xml:space="preserve">Show current value vs. target in the objective panel</w:t>
            </w:r>
          </w:p>
        </w:tc>
      </w:tr>
      <w:tr>
        <w:trPr>
          <w:tblHeader w:val="false"/>
        </w:trPr>
        <w:tc>
          <w:tcPr>
            <w:tcW w:type="dxa" w:w="12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pPr>
              <w:spacing w:after="0"/>
            </w:pPr>
            <w:r>
              <w:rPr>
                <w:b/>
                <w:bCs/>
                <w:color w:val="27AE60"/>
                <w:sz w:val="22"/>
                <w:szCs w:val="22"/>
              </w:rPr>
              <w:t xml:space="preserve">FB-07</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sz w:val="22"/>
                <w:szCs w:val="22"/>
              </w:rPr>
              <w:t xml:space="preserve">Increase log cap to 25–30 entries</w:t>
            </w:r>
          </w:p>
        </w:tc>
      </w:tr>
      <w:tr>
        <w:trPr>
          <w:tblHeader w:val="false"/>
        </w:trPr>
        <w:tc>
          <w:tcPr>
            <w:tcW w:type="dxa" w:w="12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pPr>
              <w:spacing w:after="0"/>
            </w:pPr>
            <w:r>
              <w:rPr>
                <w:b/>
                <w:bCs/>
                <w:color w:val="27AE60"/>
                <w:sz w:val="22"/>
                <w:szCs w:val="22"/>
              </w:rPr>
              <w:t xml:space="preserve">PA-06</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sz w:val="22"/>
                <w:szCs w:val="22"/>
              </w:rPr>
              <w:t xml:space="preserve">Add immunity days tooltip/explainer</w:t>
            </w:r>
          </w:p>
        </w:tc>
      </w:tr>
      <w:tr>
        <w:trPr>
          <w:tblHeader w:val="false"/>
        </w:trPr>
        <w:tc>
          <w:tcPr>
            <w:tcW w:type="dxa" w:w="12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pPr>
              <w:spacing w:after="0"/>
            </w:pPr>
            <w:r>
              <w:rPr>
                <w:b/>
                <w:bCs/>
                <w:color w:val="27AE60"/>
                <w:sz w:val="22"/>
                <w:szCs w:val="22"/>
              </w:rPr>
              <w:t xml:space="preserve">GF-04</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sz w:val="22"/>
                <w:szCs w:val="22"/>
              </w:rPr>
              <w:t xml:space="preserve">Add swarming queen warning when hive approaches 20k</w:t>
            </w:r>
          </w:p>
        </w:tc>
      </w:tr>
      <w:tr>
        <w:trPr>
          <w:tblHeader w:val="false"/>
        </w:trPr>
        <w:tc>
          <w:tcPr>
            <w:tcW w:type="dxa" w:w="12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pPr>
              <w:spacing w:after="0"/>
            </w:pPr>
            <w:r>
              <w:rPr>
                <w:b/>
                <w:bCs/>
                <w:color w:val="27AE60"/>
                <w:sz w:val="22"/>
                <w:szCs w:val="22"/>
              </w:rPr>
              <w:t xml:space="preserve">GF-05</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sz w:val="22"/>
                <w:szCs w:val="22"/>
              </w:rPr>
              <w:t xml:space="preserve">Expand win/loss banners with end-state statistics</w:t>
            </w:r>
          </w:p>
        </w:tc>
      </w:tr>
      <w:tr>
        <w:trPr>
          <w:tblHeader w:val="false"/>
        </w:trPr>
        <w:tc>
          <w:tcPr>
            <w:tcW w:type="dxa" w:w="1200"/>
            <w:tcBorders>
              <w:top w:val="single" w:color="CCCCCC" w:sz="1"/>
              <w:left w:val="single" w:color="CCCCCC" w:sz="1"/>
              <w:bottom w:val="single" w:color="CCCCCC" w:sz="1"/>
              <w:right w:val="single" w:color="CCCCCC" w:sz="1"/>
            </w:tcBorders>
            <w:shd w:fill="FAFAF8" w:val="clear"/>
            <w:tcMar>
              <w:top w:type="dxa" w:w="80"/>
              <w:left w:type="dxa" w:w="120"/>
              <w:bottom w:type="dxa" w:w="80"/>
              <w:right w:type="dxa" w:w="120"/>
            </w:tcMar>
          </w:tcPr>
          <w:p>
            <w:pPr>
              <w:spacing w:after="0"/>
            </w:pPr>
            <w:r>
              <w:rPr>
                <w:b/>
                <w:bCs/>
                <w:color w:val="27AE60"/>
                <w:sz w:val="22"/>
                <w:szCs w:val="22"/>
              </w:rPr>
              <w:t xml:space="preserve">GB-03</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val="false"/>
                <w:bCs w:val="false"/>
                <w:sz w:val="22"/>
                <w:szCs w:val="22"/>
              </w:rPr>
              <w:t xml:space="preserve">Weight queen candidates toward current apiary needs</w:t>
            </w:r>
          </w:p>
        </w:tc>
      </w:tr>
    </w:tbl>
    <w:p>
      <w:r>
        <w:t xml:space="preserve"/>
      </w:r>
    </w:p>
    <w:p>
      <w:r>
        <w:t xml:space="preserve"/>
      </w:r>
    </w:p>
    <w:p>
      <w:pPr>
        <w:pStyle w:val="Heading1"/>
      </w:pPr>
      <w:r>
        <w:t xml:space="preserve">Closing Notes</w:t>
      </w:r>
    </w:p>
    <w:p>
      <w:pPr>
        <w:spacing w:after="160"/>
      </w:pPr>
      <w:r>
        <w:rPr>
          <w:sz w:val="24"/>
          <w:szCs w:val="24"/>
        </w:rPr>
        <w:t xml:space="preserve">The game engine in game.ts is well-structured and cleanly separated from the UI. All of the highest-priority feedback improvements (FB-01 through FB-03, GB-01) can be implemented entirely within tickHive() and advanceDays() — adding event pushes when thresholds are crossed or when seasonal transitions fire. No architectural changes are required.</w:t>
      </w:r>
    </w:p>
    <w:p>
      <w:pPr>
        <w:spacing w:after="160"/>
      </w:pPr>
      <w:r>
        <w:rPr>
          <w:sz w:val="24"/>
          <w:szCs w:val="24"/>
        </w:rPr>
        <w:t xml:space="preserve">The agency improvements (PA-01, PA-02) require slightly more design work but remain within the existing event and state architecture. Adding time-sensitive events is a matter of extending advanceDays() with additional conditional checks.</w:t>
      </w:r>
    </w:p>
    <w:p>
      <w:r>
        <w:rPr>
          <w:sz w:val="24"/>
          <w:szCs w:val="24"/>
        </w:rPr>
        <w:t xml:space="preserve">The polish items (GF-01 through GF-05) are almost entirely CSS and display-layer changes with no simulation logic changes required.</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BeeKeeper Game Design Review  –  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1A1A"/>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C3E50"/>
      <w:sz w:val="28"/>
      <w:szCs w:val="28"/>
    </w:rPr>
  </w:style>
  <w:style w:type="paragraph" w:styleId="Heading3">
    <w:name w:val="Heading 3"/>
    <w:basedOn w:val="Normal"/>
    <w:next w:val="Normal"/>
    <w:qFormat/>
    <w:pPr>
      <w:spacing w:before="200" w:after="80"/>
      <w:outlineLvl w:val="2"/>
    </w:pPr>
    <w:rPr>
      <w:rFonts w:ascii="Arial" w:cs="Arial" w:eastAsia="Arial" w:hAnsi="Arial"/>
      <w:b/>
      <w:bCs/>
      <w:color w:val="5D6D7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2026-02-10T03:00:06.339Z</dcterms:created>
  <dcterms:modified xsi:type="dcterms:W3CDTF">2026-02-10T03:00:06.339Z</dcterms:modified>
</cp:coreProperties>
</file>

<file path=docProps/custom.xml><?xml version="1.0" encoding="utf-8"?>
<Properties xmlns="http://schemas.openxmlformats.org/officeDocument/2006/custom-properties" xmlns:vt="http://schemas.openxmlformats.org/officeDocument/2006/docPropsVTypes"/>
</file>