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7A"/>
          <w:sz w:val="58"/>
          <w:szCs w:val="58"/>
        </w:rPr>
        <w:t xml:space="preserve">VEGA — Master Session Brief (Final)</w:t>
      </w:r>
    </w:p>
    <w:p>
      <w:pPr>
        <w:spacing w:after="60"/>
      </w:pPr>
      <w:r>
        <w:rPr>
          <w:color w:val="555555"/>
          <w:sz w:val="24"/>
          <w:szCs w:val="24"/>
        </w:rPr>
        <w:t xml:space="preserve">2026-08-11  ·  BeardedVentures / JARVIS  ·  Single handoff document to Claude Code</w:t>
      </w:r>
    </w:p>
    <w:p>
      <w:pPr>
        <w:spacing w:after="40"/>
      </w:pPr>
      <w:r>
        <w:rPr>
          <w:i/>
          <w:iCs/>
          <w:color w:val="444444"/>
          <w:sz w:val="21"/>
          <w:szCs w:val="21"/>
        </w:rPr>
        <w:t xml:space="preserve">Incorporates: Claude session review (full session) + GPT-4o independent UI review  ·  Convergent findings elevated  ·  Decision points flagged</w:t>
      </w:r>
    </w:p>
    <w:p>
      <w:pPr>
        <w:pBdr>
          <w:bottom w:val="single" w:color="1F3A7A" w:sz="8"/>
        </w:pBdr>
        <w:spacing w:after="200" w:before="200"/>
      </w:pPr>
    </w:p>
    <w:p>
      <w:pPr>
        <w:pStyle w:val="Heading1"/>
        <w:spacing w:after="120" w:before="400"/>
      </w:pPr>
      <w:r>
        <w:rPr>
          <w:b/>
          <w:bCs/>
          <w:color w:val="1F3A7A"/>
          <w:sz w:val="34"/>
          <w:szCs w:val="34"/>
        </w:rPr>
        <w:t xml:space="preserve">Review Convergence Summary</w:t>
      </w:r>
    </w:p>
    <w:p>
      <w:pPr>
        <w:spacing w:after="80" w:before="60"/>
      </w:pPr>
      <w:r>
        <w:rPr>
          <w:color w:val="111111"/>
          <w:sz w:val="20"/>
          <w:szCs w:val="20"/>
        </w:rPr>
        <w:t xml:space="preserve">Both the Claude strategic session review and the GPT-4o independent UI review covered the same three screenshots. Where both reviews agree independently, priority is elevated — these are the highest-confidence changes. Where they diverge, a decision is flagged for Josh to make before handing to Claude Code.</w:t>
      </w:r>
    </w:p>
    <w:p>
      <w:pPr>
        <w:spacing w:after="40" w:before="4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3600"/>
        <w:gridCol w:w="2000"/>
        <w:gridCol w:w="2000"/>
        <w:gridCol w:w="1760"/>
      </w:tblGrid>
      <w:tr>
        <w:tc>
          <w:tcPr>
            <w:tcW w:type="dxa" w:w="3600"/>
            <w:shd w:fill="EEF2F8" w:val="clear"/>
            <w:tcMar>
              <w:top w:type="dxa" w:w="80"/>
              <w:left w:type="dxa" w:w="120"/>
              <w:bottom w:type="dxa" w:w="80"/>
              <w:right w:type="dxa" w:w="120"/>
            </w:tcMar>
          </w:tcPr>
          <w:p>
            <w:r>
              <w:rPr>
                <w:b/>
                <w:bCs/>
                <w:color w:val="111111"/>
                <w:sz w:val="20"/>
                <w:szCs w:val="20"/>
              </w:rPr>
              <w:t xml:space="preserve">Finding</w:t>
            </w:r>
          </w:p>
        </w:tc>
        <w:tc>
          <w:tcPr>
            <w:tcW w:type="dxa" w:w="2000"/>
            <w:shd w:fill="EEF2F8" w:val="clear"/>
            <w:tcMar>
              <w:top w:type="dxa" w:w="80"/>
              <w:left w:type="dxa" w:w="120"/>
              <w:bottom w:type="dxa" w:w="80"/>
              <w:right w:type="dxa" w:w="120"/>
            </w:tcMar>
          </w:tcPr>
          <w:p>
            <w:r>
              <w:rPr>
                <w:b/>
                <w:bCs/>
                <w:color w:val="111111"/>
                <w:sz w:val="20"/>
                <w:szCs w:val="20"/>
              </w:rPr>
              <w:t xml:space="preserve">Claude Session</w:t>
            </w:r>
          </w:p>
        </w:tc>
        <w:tc>
          <w:tcPr>
            <w:tcW w:type="dxa" w:w="2000"/>
            <w:shd w:fill="EEF2F8" w:val="clear"/>
            <w:tcMar>
              <w:top w:type="dxa" w:w="80"/>
              <w:left w:type="dxa" w:w="120"/>
              <w:bottom w:type="dxa" w:w="80"/>
              <w:right w:type="dxa" w:w="120"/>
            </w:tcMar>
          </w:tcPr>
          <w:p>
            <w:r>
              <w:rPr>
                <w:b/>
                <w:bCs/>
                <w:color w:val="111111"/>
                <w:sz w:val="20"/>
                <w:szCs w:val="20"/>
              </w:rPr>
              <w:t xml:space="preserve">GPT-4o Review</w:t>
            </w:r>
          </w:p>
        </w:tc>
        <w:tc>
          <w:tcPr>
            <w:tcW w:type="dxa" w:w="1760"/>
            <w:shd w:fill="EEF2F8" w:val="clear"/>
            <w:tcMar>
              <w:top w:type="dxa" w:w="80"/>
              <w:left w:type="dxa" w:w="120"/>
              <w:bottom w:type="dxa" w:w="80"/>
              <w:right w:type="dxa" w:w="120"/>
            </w:tcMar>
          </w:tcPr>
          <w:p>
            <w:r>
              <w:rPr>
                <w:b/>
                <w:bCs/>
                <w:color w:val="111111"/>
                <w:sz w:val="20"/>
                <w:szCs w:val="20"/>
              </w:rPr>
              <w:t xml:space="preserve">Status</w:t>
            </w:r>
          </w:p>
        </w:tc>
      </w:tr>
      <w:tr>
        <w:tc>
          <w:tcPr>
            <w:tcW w:type="dxa" w:w="3600"/>
            <w:tcMar>
              <w:top w:type="dxa" w:w="80"/>
              <w:left w:type="dxa" w:w="120"/>
              <w:bottom w:type="dxa" w:w="80"/>
              <w:right w:type="dxa" w:w="120"/>
            </w:tcMar>
          </w:tcPr>
          <w:p>
            <w:r>
              <w:rPr>
                <w:b w:val="false"/>
                <w:bCs w:val="false"/>
                <w:color w:val="111111"/>
                <w:sz w:val="20"/>
                <w:szCs w:val="20"/>
              </w:rPr>
              <w:t xml:space="preserve">'Lottery' tab name must change</w:t>
            </w:r>
          </w:p>
        </w:tc>
        <w:tc>
          <w:tcPr>
            <w:tcW w:type="dxa" w:w="2000"/>
            <w:tcMar>
              <w:top w:type="dxa" w:w="80"/>
              <w:left w:type="dxa" w:w="120"/>
              <w:bottom w:type="dxa" w:w="80"/>
              <w:right w:type="dxa" w:w="120"/>
            </w:tcMar>
          </w:tcPr>
          <w:p>
            <w:r>
              <w:rPr>
                <w:b w:val="false"/>
                <w:bCs w:val="false"/>
                <w:color w:val="111111"/>
                <w:sz w:val="20"/>
                <w:szCs w:val="20"/>
              </w:rPr>
              <w:t xml:space="preserve">✓ Change to Momentum</w:t>
            </w:r>
          </w:p>
        </w:tc>
        <w:tc>
          <w:tcPr>
            <w:tcW w:type="dxa" w:w="2000"/>
            <w:tcMar>
              <w:top w:type="dxa" w:w="80"/>
              <w:left w:type="dxa" w:w="120"/>
              <w:bottom w:type="dxa" w:w="80"/>
              <w:right w:type="dxa" w:w="120"/>
            </w:tcMar>
          </w:tcPr>
          <w:p>
            <w:r>
              <w:rPr>
                <w:b w:val="false"/>
                <w:bCs w:val="false"/>
                <w:color w:val="111111"/>
                <w:sz w:val="20"/>
                <w:szCs w:val="20"/>
              </w:rPr>
              <w:t xml:space="preserve">✓ Change to Asymmetry</w:t>
            </w:r>
          </w:p>
        </w:tc>
        <w:tc>
          <w:tcPr>
            <w:tcW w:type="dxa" w:w="1760"/>
            <w:shd w:fill="FFF8E1" w:val="clear"/>
            <w:tcMar>
              <w:top w:type="dxa" w:w="80"/>
              <w:left w:type="dxa" w:w="120"/>
              <w:bottom w:type="dxa" w:w="80"/>
              <w:right w:type="dxa" w:w="120"/>
            </w:tcMar>
          </w:tcPr>
          <w:p>
            <w:r>
              <w:rPr>
                <w:b w:val="false"/>
                <w:bCs w:val="false"/>
                <w:color w:val="111111"/>
                <w:sz w:val="20"/>
                <w:szCs w:val="20"/>
              </w:rPr>
              <w:t xml:space="preserve">CONVERGE — decide name</w:t>
            </w:r>
          </w:p>
        </w:tc>
      </w:tr>
      <w:tr>
        <w:tc>
          <w:tcPr>
            <w:tcW w:type="dxa" w:w="3600"/>
            <w:tcMar>
              <w:top w:type="dxa" w:w="80"/>
              <w:left w:type="dxa" w:w="120"/>
              <w:bottom w:type="dxa" w:w="80"/>
              <w:right w:type="dxa" w:w="120"/>
            </w:tcMar>
          </w:tcPr>
          <w:p>
            <w:r>
              <w:rPr>
                <w:b w:val="false"/>
                <w:bCs w:val="false"/>
                <w:color w:val="111111"/>
                <w:sz w:val="20"/>
                <w:szCs w:val="20"/>
              </w:rPr>
              <w:t xml:space="preserve">Stars → numbers on KPI cards</w:t>
            </w:r>
          </w:p>
        </w:tc>
        <w:tc>
          <w:tcPr>
            <w:tcW w:type="dxa" w:w="2000"/>
            <w:tcMar>
              <w:top w:type="dxa" w:w="80"/>
              <w:left w:type="dxa" w:w="120"/>
              <w:bottom w:type="dxa" w:w="80"/>
              <w:right w:type="dxa" w:w="120"/>
            </w:tcMar>
          </w:tcPr>
          <w:p>
            <w:r>
              <w:rPr>
                <w:b w:val="false"/>
                <w:bCs w:val="false"/>
                <w:color w:val="111111"/>
                <w:sz w:val="20"/>
                <w:szCs w:val="20"/>
              </w:rPr>
              <w:t xml:space="preserve">✓ Numbers + legend</w:t>
            </w:r>
          </w:p>
        </w:tc>
        <w:tc>
          <w:tcPr>
            <w:tcW w:type="dxa" w:w="2000"/>
            <w:tcMar>
              <w:top w:type="dxa" w:w="80"/>
              <w:left w:type="dxa" w:w="120"/>
              <w:bottom w:type="dxa" w:w="80"/>
              <w:right w:type="dxa" w:w="120"/>
            </w:tcMar>
          </w:tcPr>
          <w:p>
            <w:r>
              <w:rPr>
                <w:b w:val="false"/>
                <w:bCs w:val="false"/>
                <w:color w:val="111111"/>
                <w:sz w:val="20"/>
                <w:szCs w:val="20"/>
              </w:rPr>
              <w:t xml:space="preserve">✓ Numbers + VRP value on card</w:t>
            </w:r>
          </w:p>
        </w:tc>
        <w:tc>
          <w:tcPr>
            <w:tcW w:type="dxa" w:w="1760"/>
            <w:shd w:fill="F1F8E9" w:val="clear"/>
            <w:tcMar>
              <w:top w:type="dxa" w:w="80"/>
              <w:left w:type="dxa" w:w="120"/>
              <w:bottom w:type="dxa" w:w="80"/>
              <w:right w:type="dxa" w:w="120"/>
            </w:tcMar>
          </w:tcPr>
          <w:p>
            <w:r>
              <w:rPr>
                <w:b w:val="false"/>
                <w:bCs w:val="false"/>
                <w:color w:val="111111"/>
                <w:sz w:val="20"/>
                <w:szCs w:val="20"/>
              </w:rPr>
              <w:t xml:space="preserve">CONVERGE — both agree</w:t>
            </w:r>
          </w:p>
        </w:tc>
      </w:tr>
      <w:tr>
        <w:tc>
          <w:tcPr>
            <w:tcW w:type="dxa" w:w="3600"/>
            <w:tcMar>
              <w:top w:type="dxa" w:w="80"/>
              <w:left w:type="dxa" w:w="120"/>
              <w:bottom w:type="dxa" w:w="80"/>
              <w:right w:type="dxa" w:w="120"/>
            </w:tcMar>
          </w:tcPr>
          <w:p>
            <w:r>
              <w:rPr>
                <w:b w:val="false"/>
                <w:bCs w:val="false"/>
                <w:color w:val="111111"/>
                <w:sz w:val="20"/>
                <w:szCs w:val="20"/>
              </w:rPr>
              <w:t xml:space="preserve">Track Record is critically important</w:t>
            </w:r>
          </w:p>
        </w:tc>
        <w:tc>
          <w:tcPr>
            <w:tcW w:type="dxa" w:w="2000"/>
            <w:tcMar>
              <w:top w:type="dxa" w:w="80"/>
              <w:left w:type="dxa" w:w="120"/>
              <w:bottom w:type="dxa" w:w="80"/>
              <w:right w:type="dxa" w:w="120"/>
            </w:tcMar>
          </w:tcPr>
          <w:p>
            <w:r>
              <w:rPr>
                <w:b w:val="false"/>
                <w:bCs w:val="false"/>
                <w:color w:val="111111"/>
                <w:sz w:val="20"/>
                <w:szCs w:val="20"/>
              </w:rPr>
              <w:t xml:space="preserve">✓ Gated on clean trades</w:t>
            </w:r>
          </w:p>
        </w:tc>
        <w:tc>
          <w:tcPr>
            <w:tcW w:type="dxa" w:w="2000"/>
            <w:tcMar>
              <w:top w:type="dxa" w:w="80"/>
              <w:left w:type="dxa" w:w="120"/>
              <w:bottom w:type="dxa" w:w="80"/>
              <w:right w:type="dxa" w:w="120"/>
            </w:tcMar>
          </w:tcPr>
          <w:p>
            <w:r>
              <w:rPr>
                <w:b w:val="false"/>
                <w:bCs w:val="false"/>
                <w:color w:val="111111"/>
                <w:sz w:val="20"/>
                <w:szCs w:val="20"/>
              </w:rPr>
              <w:t xml:space="preserve">✓ Make it front-and-center credibility</w:t>
            </w:r>
          </w:p>
        </w:tc>
        <w:tc>
          <w:tcPr>
            <w:tcW w:type="dxa" w:w="1760"/>
            <w:shd w:fill="F1F8E9" w:val="clear"/>
            <w:tcMar>
              <w:top w:type="dxa" w:w="80"/>
              <w:left w:type="dxa" w:w="120"/>
              <w:bottom w:type="dxa" w:w="80"/>
              <w:right w:type="dxa" w:w="120"/>
            </w:tcMar>
          </w:tcPr>
          <w:p>
            <w:r>
              <w:rPr>
                <w:b w:val="false"/>
                <w:bCs w:val="false"/>
                <w:color w:val="111111"/>
                <w:sz w:val="20"/>
                <w:szCs w:val="20"/>
              </w:rPr>
              <w:t xml:space="preserve">CONVERGE — highest priority</w:t>
            </w:r>
          </w:p>
        </w:tc>
      </w:tr>
      <w:tr>
        <w:tc>
          <w:tcPr>
            <w:tcW w:type="dxa" w:w="3600"/>
            <w:tcMar>
              <w:top w:type="dxa" w:w="80"/>
              <w:left w:type="dxa" w:w="120"/>
              <w:bottom w:type="dxa" w:w="80"/>
              <w:right w:type="dxa" w:w="120"/>
            </w:tcMar>
          </w:tcPr>
          <w:p>
            <w:r>
              <w:rPr>
                <w:b w:val="false"/>
                <w:bCs w:val="false"/>
                <w:color w:val="111111"/>
                <w:sz w:val="20"/>
                <w:szCs w:val="20"/>
              </w:rPr>
              <w:t xml:space="preserve">UI is ahead of its evidence</w:t>
            </w:r>
          </w:p>
        </w:tc>
        <w:tc>
          <w:tcPr>
            <w:tcW w:type="dxa" w:w="2000"/>
            <w:tcMar>
              <w:top w:type="dxa" w:w="80"/>
              <w:left w:type="dxa" w:w="120"/>
              <w:bottom w:type="dxa" w:w="80"/>
              <w:right w:type="dxa" w:w="120"/>
            </w:tcMar>
          </w:tcPr>
          <w:p>
            <w:r>
              <w:rPr>
                <w:b w:val="false"/>
                <w:bCs w:val="false"/>
                <w:color w:val="111111"/>
                <w:sz w:val="20"/>
                <w:szCs w:val="20"/>
              </w:rPr>
              <w:t xml:space="preserve">✓ Track record gate enforced</w:t>
            </w:r>
          </w:p>
        </w:tc>
        <w:tc>
          <w:tcPr>
            <w:tcW w:type="dxa" w:w="2000"/>
            <w:tcMar>
              <w:top w:type="dxa" w:w="80"/>
              <w:left w:type="dxa" w:w="120"/>
              <w:bottom w:type="dxa" w:w="80"/>
              <w:right w:type="dxa" w:w="120"/>
            </w:tcMar>
          </w:tcPr>
          <w:p>
            <w:r>
              <w:rPr>
                <w:b w:val="false"/>
                <w:bCs w:val="false"/>
                <w:color w:val="111111"/>
                <w:sz w:val="20"/>
                <w:szCs w:val="20"/>
              </w:rPr>
              <w:t xml:space="preserve">✓ Same warning explicitly</w:t>
            </w:r>
          </w:p>
        </w:tc>
        <w:tc>
          <w:tcPr>
            <w:tcW w:type="dxa" w:w="1760"/>
            <w:shd w:fill="F1F8E9" w:val="clear"/>
            <w:tcMar>
              <w:top w:type="dxa" w:w="80"/>
              <w:left w:type="dxa" w:w="120"/>
              <w:bottom w:type="dxa" w:w="80"/>
              <w:right w:type="dxa" w:w="120"/>
            </w:tcMar>
          </w:tcPr>
          <w:p>
            <w:r>
              <w:rPr>
                <w:b w:val="false"/>
                <w:bCs w:val="false"/>
                <w:color w:val="111111"/>
                <w:sz w:val="20"/>
                <w:szCs w:val="20"/>
              </w:rPr>
              <w:t xml:space="preserve">CONVERGE — validates gate</w:t>
            </w:r>
          </w:p>
        </w:tc>
      </w:tr>
      <w:tr>
        <w:tc>
          <w:tcPr>
            <w:tcW w:type="dxa" w:w="3600"/>
            <w:tcMar>
              <w:top w:type="dxa" w:w="80"/>
              <w:left w:type="dxa" w:w="120"/>
              <w:bottom w:type="dxa" w:w="80"/>
              <w:right w:type="dxa" w:w="120"/>
            </w:tcMar>
          </w:tcPr>
          <w:p>
            <w:r>
              <w:rPr>
                <w:b w:val="false"/>
                <w:bCs w:val="false"/>
                <w:color w:val="111111"/>
                <w:sz w:val="20"/>
                <w:szCs w:val="20"/>
              </w:rPr>
              <w:t xml:space="preserve">Progressive disclosure needed</w:t>
            </w:r>
          </w:p>
        </w:tc>
        <w:tc>
          <w:tcPr>
            <w:tcW w:type="dxa" w:w="2000"/>
            <w:tcMar>
              <w:top w:type="dxa" w:w="80"/>
              <w:left w:type="dxa" w:w="120"/>
              <w:bottom w:type="dxa" w:w="80"/>
              <w:right w:type="dxa" w:w="120"/>
            </w:tcMar>
          </w:tcPr>
          <w:p>
            <w:r>
              <w:rPr>
                <w:b w:val="false"/>
                <w:bCs w:val="false"/>
                <w:color w:val="111111"/>
                <w:sz w:val="20"/>
                <w:szCs w:val="20"/>
              </w:rPr>
              <w:t xml:space="preserve">✓ Mentioned in passing</w:t>
            </w:r>
          </w:p>
        </w:tc>
        <w:tc>
          <w:tcPr>
            <w:tcW w:type="dxa" w:w="2000"/>
            <w:tcMar>
              <w:top w:type="dxa" w:w="80"/>
              <w:left w:type="dxa" w:w="120"/>
              <w:bottom w:type="dxa" w:w="80"/>
              <w:right w:type="dxa" w:w="120"/>
            </w:tcMar>
          </w:tcPr>
          <w:p>
            <w:r>
              <w:rPr>
                <w:b w:val="false"/>
                <w:bCs w:val="false"/>
                <w:color w:val="111111"/>
                <w:sz w:val="20"/>
                <w:szCs w:val="20"/>
              </w:rPr>
              <w:t xml:space="preserve">✓ Named as structural principle</w:t>
            </w:r>
          </w:p>
        </w:tc>
        <w:tc>
          <w:tcPr>
            <w:tcW w:type="dxa" w:w="1760"/>
            <w:shd w:fill="F1F8E9" w:val="clear"/>
            <w:tcMar>
              <w:top w:type="dxa" w:w="80"/>
              <w:left w:type="dxa" w:w="120"/>
              <w:bottom w:type="dxa" w:w="80"/>
              <w:right w:type="dxa" w:w="120"/>
            </w:tcMar>
          </w:tcPr>
          <w:p>
            <w:r>
              <w:rPr>
                <w:b w:val="false"/>
                <w:bCs w:val="false"/>
                <w:color w:val="111111"/>
                <w:sz w:val="20"/>
                <w:szCs w:val="20"/>
              </w:rPr>
              <w:t xml:space="preserve">CONVERGE — add to brief</w:t>
            </w:r>
          </w:p>
        </w:tc>
      </w:tr>
      <w:tr>
        <w:tc>
          <w:tcPr>
            <w:tcW w:type="dxa" w:w="3600"/>
            <w:tcMar>
              <w:top w:type="dxa" w:w="80"/>
              <w:left w:type="dxa" w:w="120"/>
              <w:bottom w:type="dxa" w:w="80"/>
              <w:right w:type="dxa" w:w="120"/>
            </w:tcMar>
          </w:tcPr>
          <w:p>
            <w:r>
              <w:rPr>
                <w:b w:val="false"/>
                <w:bCs w:val="false"/>
                <w:color w:val="111111"/>
                <w:sz w:val="20"/>
                <w:szCs w:val="20"/>
              </w:rPr>
              <w:t xml:space="preserve">'Win Prob' label is misleading</w:t>
            </w:r>
          </w:p>
        </w:tc>
        <w:tc>
          <w:tcPr>
            <w:tcW w:type="dxa" w:w="2000"/>
            <w:tcMar>
              <w:top w:type="dxa" w:w="80"/>
              <w:left w:type="dxa" w:w="120"/>
              <w:bottom w:type="dxa" w:w="80"/>
              <w:right w:type="dxa" w:w="120"/>
            </w:tcMar>
          </w:tcPr>
          <w:p>
            <w:r>
              <w:rPr>
                <w:b w:val="false"/>
                <w:bCs w:val="false"/>
                <w:color w:val="111111"/>
                <w:sz w:val="20"/>
                <w:szCs w:val="20"/>
              </w:rPr>
              <w:t xml:space="preserve">Not covered</w:t>
            </w:r>
          </w:p>
        </w:tc>
        <w:tc>
          <w:tcPr>
            <w:tcW w:type="dxa" w:w="2000"/>
            <w:tcMar>
              <w:top w:type="dxa" w:w="80"/>
              <w:left w:type="dxa" w:w="120"/>
              <w:bottom w:type="dxa" w:w="80"/>
              <w:right w:type="dxa" w:w="120"/>
            </w:tcMar>
          </w:tcPr>
          <w:p>
            <w:r>
              <w:rPr>
                <w:b w:val="false"/>
                <w:bCs w:val="false"/>
                <w:color w:val="111111"/>
                <w:sz w:val="20"/>
                <w:szCs w:val="20"/>
              </w:rPr>
              <w:t xml:space="preserve">✓ Change to VEGA POP</w:t>
            </w:r>
          </w:p>
        </w:tc>
        <w:tc>
          <w:tcPr>
            <w:tcW w:type="dxa" w:w="1760"/>
            <w:shd w:fill="FFF8E1" w:val="clear"/>
            <w:tcMar>
              <w:top w:type="dxa" w:w="80"/>
              <w:left w:type="dxa" w:w="120"/>
              <w:bottom w:type="dxa" w:w="80"/>
              <w:right w:type="dxa" w:w="120"/>
            </w:tcMar>
          </w:tcPr>
          <w:p>
            <w:r>
              <w:rPr>
                <w:b w:val="false"/>
                <w:bCs w:val="false"/>
                <w:color w:val="111111"/>
                <w:sz w:val="20"/>
                <w:szCs w:val="20"/>
              </w:rPr>
              <w:t xml:space="preserve">NEW from GPT — high impact</w:t>
            </w:r>
          </w:p>
        </w:tc>
      </w:tr>
      <w:tr>
        <w:tc>
          <w:tcPr>
            <w:tcW w:type="dxa" w:w="3600"/>
            <w:tcMar>
              <w:top w:type="dxa" w:w="80"/>
              <w:left w:type="dxa" w:w="120"/>
              <w:bottom w:type="dxa" w:w="80"/>
              <w:right w:type="dxa" w:w="120"/>
            </w:tcMar>
          </w:tcPr>
          <w:p>
            <w:r>
              <w:rPr>
                <w:b w:val="false"/>
                <w:bCs w:val="false"/>
                <w:color w:val="111111"/>
                <w:sz w:val="20"/>
                <w:szCs w:val="20"/>
              </w:rPr>
              <w:t xml:space="preserve">Stand Aside vs. opportunity contradiction</w:t>
            </w:r>
          </w:p>
        </w:tc>
        <w:tc>
          <w:tcPr>
            <w:tcW w:type="dxa" w:w="2000"/>
            <w:tcMar>
              <w:top w:type="dxa" w:w="80"/>
              <w:left w:type="dxa" w:w="120"/>
              <w:bottom w:type="dxa" w:w="80"/>
              <w:right w:type="dxa" w:w="120"/>
            </w:tcMar>
          </w:tcPr>
          <w:p>
            <w:r>
              <w:rPr>
                <w:b w:val="false"/>
                <w:bCs w:val="false"/>
                <w:color w:val="111111"/>
                <w:sz w:val="20"/>
                <w:szCs w:val="20"/>
              </w:rPr>
              <w:t xml:space="preserve">Not covered</w:t>
            </w:r>
          </w:p>
        </w:tc>
        <w:tc>
          <w:tcPr>
            <w:tcW w:type="dxa" w:w="2000"/>
            <w:tcMar>
              <w:top w:type="dxa" w:w="80"/>
              <w:left w:type="dxa" w:w="120"/>
              <w:bottom w:type="dxa" w:w="80"/>
              <w:right w:type="dxa" w:w="120"/>
            </w:tcMar>
          </w:tcPr>
          <w:p>
            <w:r>
              <w:rPr>
                <w:b w:val="false"/>
                <w:bCs w:val="false"/>
                <w:color w:val="111111"/>
                <w:sz w:val="20"/>
                <w:szCs w:val="20"/>
              </w:rPr>
              <w:t xml:space="preserve">✓ Reserve Stand Aside for 0-qualified</w:t>
            </w:r>
          </w:p>
        </w:tc>
        <w:tc>
          <w:tcPr>
            <w:tcW w:type="dxa" w:w="1760"/>
            <w:shd w:fill="FFF8E1" w:val="clear"/>
            <w:tcMar>
              <w:top w:type="dxa" w:w="80"/>
              <w:left w:type="dxa" w:w="120"/>
              <w:bottom w:type="dxa" w:w="80"/>
              <w:right w:type="dxa" w:w="120"/>
            </w:tcMar>
          </w:tcPr>
          <w:p>
            <w:r>
              <w:rPr>
                <w:b w:val="false"/>
                <w:bCs w:val="false"/>
                <w:color w:val="111111"/>
                <w:sz w:val="20"/>
                <w:szCs w:val="20"/>
              </w:rPr>
              <w:t xml:space="preserve">NEW from GPT — high impact</w:t>
            </w:r>
          </w:p>
        </w:tc>
      </w:tr>
      <w:tr>
        <w:tc>
          <w:tcPr>
            <w:tcW w:type="dxa" w:w="3600"/>
            <w:tcMar>
              <w:top w:type="dxa" w:w="80"/>
              <w:left w:type="dxa" w:w="120"/>
              <w:bottom w:type="dxa" w:w="80"/>
              <w:right w:type="dxa" w:w="120"/>
            </w:tcMar>
          </w:tcPr>
          <w:p>
            <w:r>
              <w:rPr>
                <w:b w:val="false"/>
                <w:bCs w:val="false"/>
                <w:color w:val="111111"/>
                <w:sz w:val="20"/>
                <w:szCs w:val="20"/>
              </w:rPr>
              <w:t xml:space="preserve">Opportunity density funnel (X scanned)</w:t>
            </w:r>
          </w:p>
        </w:tc>
        <w:tc>
          <w:tcPr>
            <w:tcW w:type="dxa" w:w="2000"/>
            <w:tcMar>
              <w:top w:type="dxa" w:w="80"/>
              <w:left w:type="dxa" w:w="120"/>
              <w:bottom w:type="dxa" w:w="80"/>
              <w:right w:type="dxa" w:w="120"/>
            </w:tcMar>
          </w:tcPr>
          <w:p>
            <w:r>
              <w:rPr>
                <w:b w:val="false"/>
                <w:bCs w:val="false"/>
                <w:color w:val="111111"/>
                <w:sz w:val="20"/>
                <w:szCs w:val="20"/>
              </w:rPr>
              <w:t xml:space="preserve">Not covered</w:t>
            </w:r>
          </w:p>
        </w:tc>
        <w:tc>
          <w:tcPr>
            <w:tcW w:type="dxa" w:w="2000"/>
            <w:tcMar>
              <w:top w:type="dxa" w:w="80"/>
              <w:left w:type="dxa" w:w="120"/>
              <w:bottom w:type="dxa" w:w="80"/>
              <w:right w:type="dxa" w:w="120"/>
            </w:tcMar>
          </w:tcPr>
          <w:p>
            <w:r>
              <w:rPr>
                <w:b w:val="false"/>
                <w:bCs w:val="false"/>
                <w:color w:val="111111"/>
                <w:sz w:val="20"/>
                <w:szCs w:val="20"/>
              </w:rPr>
              <w:t xml:space="preserve">✓ Critical missing feature</w:t>
            </w:r>
          </w:p>
        </w:tc>
        <w:tc>
          <w:tcPr>
            <w:tcW w:type="dxa" w:w="1760"/>
            <w:shd w:fill="FFF8E1" w:val="clear"/>
            <w:tcMar>
              <w:top w:type="dxa" w:w="80"/>
              <w:left w:type="dxa" w:w="120"/>
              <w:bottom w:type="dxa" w:w="80"/>
              <w:right w:type="dxa" w:w="120"/>
            </w:tcMar>
          </w:tcPr>
          <w:p>
            <w:r>
              <w:rPr>
                <w:b w:val="false"/>
                <w:bCs w:val="false"/>
                <w:color w:val="111111"/>
                <w:sz w:val="20"/>
                <w:szCs w:val="20"/>
              </w:rPr>
              <w:t xml:space="preserve">NEW from GPT — high impact</w:t>
            </w:r>
          </w:p>
        </w:tc>
      </w:tr>
      <w:tr>
        <w:tc>
          <w:tcPr>
            <w:tcW w:type="dxa" w:w="3600"/>
            <w:tcMar>
              <w:top w:type="dxa" w:w="80"/>
              <w:left w:type="dxa" w:w="120"/>
              <w:bottom w:type="dxa" w:w="80"/>
              <w:right w:type="dxa" w:w="120"/>
            </w:tcMar>
          </w:tcPr>
          <w:p>
            <w:r>
              <w:rPr>
                <w:b w:val="false"/>
                <w:bCs w:val="false"/>
                <w:color w:val="111111"/>
                <w:sz w:val="20"/>
                <w:szCs w:val="20"/>
              </w:rPr>
              <w:t xml:space="preserve">'Why' section 3-bucket reorganization</w:t>
            </w:r>
          </w:p>
        </w:tc>
        <w:tc>
          <w:tcPr>
            <w:tcW w:type="dxa" w:w="2000"/>
            <w:tcMar>
              <w:top w:type="dxa" w:w="80"/>
              <w:left w:type="dxa" w:w="120"/>
              <w:bottom w:type="dxa" w:w="80"/>
              <w:right w:type="dxa" w:w="120"/>
            </w:tcMar>
          </w:tcPr>
          <w:p>
            <w:r>
              <w:rPr>
                <w:b w:val="false"/>
                <w:bCs w:val="false"/>
                <w:color w:val="111111"/>
                <w:sz w:val="20"/>
                <w:szCs w:val="20"/>
              </w:rPr>
              <w:t xml:space="preserve">Not covered</w:t>
            </w:r>
          </w:p>
        </w:tc>
        <w:tc>
          <w:tcPr>
            <w:tcW w:type="dxa" w:w="2000"/>
            <w:tcMar>
              <w:top w:type="dxa" w:w="80"/>
              <w:left w:type="dxa" w:w="120"/>
              <w:bottom w:type="dxa" w:w="80"/>
              <w:right w:type="dxa" w:w="120"/>
            </w:tcMar>
          </w:tcPr>
          <w:p>
            <w:r>
              <w:rPr>
                <w:b w:val="false"/>
                <w:bCs w:val="false"/>
                <w:color w:val="111111"/>
                <w:sz w:val="20"/>
                <w:szCs w:val="20"/>
              </w:rPr>
              <w:t xml:space="preserve">✓ Why / What Breaks / Doesn't Like</w:t>
            </w:r>
          </w:p>
        </w:tc>
        <w:tc>
          <w:tcPr>
            <w:tcW w:type="dxa" w:w="1760"/>
            <w:shd w:fill="FFF8E1" w:val="clear"/>
            <w:tcMar>
              <w:top w:type="dxa" w:w="80"/>
              <w:left w:type="dxa" w:w="120"/>
              <w:bottom w:type="dxa" w:w="80"/>
              <w:right w:type="dxa" w:w="120"/>
            </w:tcMar>
          </w:tcPr>
          <w:p>
            <w:r>
              <w:rPr>
                <w:b w:val="false"/>
                <w:bCs w:val="false"/>
                <w:color w:val="111111"/>
                <w:sz w:val="20"/>
                <w:szCs w:val="20"/>
              </w:rPr>
              <w:t xml:space="preserve">NEW from GPT — add to brief</w:t>
            </w:r>
          </w:p>
        </w:tc>
      </w:tr>
      <w:tr>
        <w:tc>
          <w:tcPr>
            <w:tcW w:type="dxa" w:w="3600"/>
            <w:tcMar>
              <w:top w:type="dxa" w:w="80"/>
              <w:left w:type="dxa" w:w="120"/>
              <w:bottom w:type="dxa" w:w="80"/>
              <w:right w:type="dxa" w:w="120"/>
            </w:tcMar>
          </w:tcPr>
          <w:p>
            <w:r>
              <w:rPr>
                <w:b w:val="false"/>
                <w:bCs w:val="false"/>
                <w:color w:val="111111"/>
                <w:sz w:val="20"/>
                <w:szCs w:val="20"/>
              </w:rPr>
              <w:t xml:space="preserve">Bitcoin tab name/positioning</w:t>
            </w:r>
          </w:p>
        </w:tc>
        <w:tc>
          <w:tcPr>
            <w:tcW w:type="dxa" w:w="2000"/>
            <w:tcMar>
              <w:top w:type="dxa" w:w="80"/>
              <w:left w:type="dxa" w:w="120"/>
              <w:bottom w:type="dxa" w:w="80"/>
              <w:right w:type="dxa" w:w="120"/>
            </w:tcMar>
          </w:tcPr>
          <w:p>
            <w:r>
              <w:rPr>
                <w:b w:val="false"/>
                <w:bCs w:val="false"/>
                <w:color w:val="111111"/>
                <w:sz w:val="20"/>
                <w:szCs w:val="20"/>
              </w:rPr>
              <w:t xml:space="preserve">✓ Rename to 'Crypto'</w:t>
            </w:r>
          </w:p>
        </w:tc>
        <w:tc>
          <w:tcPr>
            <w:tcW w:type="dxa" w:w="2000"/>
            <w:tcMar>
              <w:top w:type="dxa" w:w="80"/>
              <w:left w:type="dxa" w:w="120"/>
              <w:bottom w:type="dxa" w:w="80"/>
              <w:right w:type="dxa" w:w="120"/>
            </w:tcMar>
          </w:tcPr>
          <w:p>
            <w:r>
              <w:rPr>
                <w:b w:val="false"/>
                <w:bCs w:val="false"/>
                <w:color w:val="111111"/>
                <w:sz w:val="20"/>
                <w:szCs w:val="20"/>
              </w:rPr>
              <w:t xml:space="preserve">✓ Move to 'Research'</w:t>
            </w:r>
          </w:p>
        </w:tc>
        <w:tc>
          <w:tcPr>
            <w:tcW w:type="dxa" w:w="1760"/>
            <w:shd w:fill="F3E5F5" w:val="clear"/>
            <w:tcMar>
              <w:top w:type="dxa" w:w="80"/>
              <w:left w:type="dxa" w:w="120"/>
              <w:bottom w:type="dxa" w:w="80"/>
              <w:right w:type="dxa" w:w="120"/>
            </w:tcMar>
          </w:tcPr>
          <w:p>
            <w:r>
              <w:rPr>
                <w:b w:val="false"/>
                <w:bCs w:val="false"/>
                <w:color w:val="111111"/>
                <w:sz w:val="20"/>
                <w:szCs w:val="20"/>
              </w:rPr>
              <w:t xml:space="preserve">DIVERGE — decision needed</w:t>
            </w:r>
          </w:p>
        </w:tc>
      </w:tr>
      <w:tr>
        <w:tc>
          <w:tcPr>
            <w:tcW w:type="dxa" w:w="3600"/>
            <w:tcMar>
              <w:top w:type="dxa" w:w="80"/>
              <w:left w:type="dxa" w:w="120"/>
              <w:bottom w:type="dxa" w:w="80"/>
              <w:right w:type="dxa" w:w="120"/>
            </w:tcMar>
          </w:tcPr>
          <w:p>
            <w:r>
              <w:rPr>
                <w:b w:val="false"/>
                <w:bCs w:val="false"/>
                <w:color w:val="111111"/>
                <w:sz w:val="20"/>
                <w:szCs w:val="20"/>
              </w:rPr>
              <w:t xml:space="preserve">Recommended Action vs. Setup</w:t>
            </w:r>
          </w:p>
        </w:tc>
        <w:tc>
          <w:tcPr>
            <w:tcW w:type="dxa" w:w="2000"/>
            <w:tcMar>
              <w:top w:type="dxa" w:w="80"/>
              <w:left w:type="dxa" w:w="120"/>
              <w:bottom w:type="dxa" w:w="80"/>
              <w:right w:type="dxa" w:w="120"/>
            </w:tcMar>
          </w:tcPr>
          <w:p>
            <w:r>
              <w:rPr>
                <w:b w:val="false"/>
                <w:bCs w:val="false"/>
                <w:color w:val="111111"/>
                <w:sz w:val="20"/>
                <w:szCs w:val="20"/>
              </w:rPr>
              <w:t xml:space="preserve">✓ Keep 'Action'</w:t>
            </w:r>
          </w:p>
        </w:tc>
        <w:tc>
          <w:tcPr>
            <w:tcW w:type="dxa" w:w="2000"/>
            <w:tcMar>
              <w:top w:type="dxa" w:w="80"/>
              <w:left w:type="dxa" w:w="120"/>
              <w:bottom w:type="dxa" w:w="80"/>
              <w:right w:type="dxa" w:w="120"/>
            </w:tcMar>
          </w:tcPr>
          <w:p>
            <w:r>
              <w:rPr>
                <w:b w:val="false"/>
                <w:bCs w:val="false"/>
                <w:color w:val="111111"/>
                <w:sz w:val="20"/>
                <w:szCs w:val="20"/>
              </w:rPr>
              <w:t xml:space="preserve">✓ Change to 'Recommended Setup'</w:t>
            </w:r>
          </w:p>
        </w:tc>
        <w:tc>
          <w:tcPr>
            <w:tcW w:type="dxa" w:w="1760"/>
            <w:shd w:fill="F3E5F5" w:val="clear"/>
            <w:tcMar>
              <w:top w:type="dxa" w:w="80"/>
              <w:left w:type="dxa" w:w="120"/>
              <w:bottom w:type="dxa" w:w="80"/>
              <w:right w:type="dxa" w:w="120"/>
            </w:tcMar>
          </w:tcPr>
          <w:p>
            <w:r>
              <w:rPr>
                <w:b w:val="false"/>
                <w:bCs w:val="false"/>
                <w:color w:val="111111"/>
                <w:sz w:val="20"/>
                <w:szCs w:val="20"/>
              </w:rPr>
              <w:t xml:space="preserve">DIVERGE — decision needed</w:t>
            </w:r>
          </w:p>
        </w:tc>
      </w:tr>
      <w:tr>
        <w:tc>
          <w:tcPr>
            <w:tcW w:type="dxa" w:w="3600"/>
            <w:tcMar>
              <w:top w:type="dxa" w:w="80"/>
              <w:left w:type="dxa" w:w="120"/>
              <w:bottom w:type="dxa" w:w="80"/>
              <w:right w:type="dxa" w:w="120"/>
            </w:tcMar>
          </w:tcPr>
          <w:p>
            <w:r>
              <w:rPr>
                <w:b w:val="false"/>
                <w:bCs w:val="false"/>
                <w:color w:val="111111"/>
                <w:sz w:val="20"/>
                <w:szCs w:val="20"/>
              </w:rPr>
              <w:t xml:space="preserve">LOG TRADE + WATCH + REJECT buttons</w:t>
            </w:r>
          </w:p>
        </w:tc>
        <w:tc>
          <w:tcPr>
            <w:tcW w:type="dxa" w:w="2000"/>
            <w:tcMar>
              <w:top w:type="dxa" w:w="80"/>
              <w:left w:type="dxa" w:w="120"/>
              <w:bottom w:type="dxa" w:w="80"/>
              <w:right w:type="dxa" w:w="120"/>
            </w:tcMar>
          </w:tcPr>
          <w:p>
            <w:r>
              <w:rPr>
                <w:b w:val="false"/>
                <w:bCs w:val="false"/>
                <w:color w:val="111111"/>
                <w:sz w:val="20"/>
                <w:szCs w:val="20"/>
              </w:rPr>
              <w:t xml:space="preserve">Not covered</w:t>
            </w:r>
          </w:p>
        </w:tc>
        <w:tc>
          <w:tcPr>
            <w:tcW w:type="dxa" w:w="2000"/>
            <w:tcMar>
              <w:top w:type="dxa" w:w="80"/>
              <w:left w:type="dxa" w:w="120"/>
              <w:bottom w:type="dxa" w:w="80"/>
              <w:right w:type="dxa" w:w="120"/>
            </w:tcMar>
          </w:tcPr>
          <w:p>
            <w:r>
              <w:rPr>
                <w:b w:val="false"/>
                <w:bCs w:val="false"/>
                <w:color w:val="111111"/>
                <w:sz w:val="20"/>
                <w:szCs w:val="20"/>
              </w:rPr>
              <w:t xml:space="preserve">✓ Three-button set</w:t>
            </w:r>
          </w:p>
        </w:tc>
        <w:tc>
          <w:tcPr>
            <w:tcW w:type="dxa" w:w="1760"/>
            <w:shd w:fill="FFF8E1" w:val="clear"/>
            <w:tcMar>
              <w:top w:type="dxa" w:w="80"/>
              <w:left w:type="dxa" w:w="120"/>
              <w:bottom w:type="dxa" w:w="80"/>
              <w:right w:type="dxa" w:w="120"/>
            </w:tcMar>
          </w:tcPr>
          <w:p>
            <w:r>
              <w:rPr>
                <w:b w:val="false"/>
                <w:bCs w:val="false"/>
                <w:color w:val="111111"/>
                <w:sz w:val="20"/>
                <w:szCs w:val="20"/>
              </w:rPr>
              <w:t xml:space="preserve">NEW from GPT — add to brief</w:t>
            </w:r>
          </w:p>
        </w:tc>
      </w:tr>
      <w:tr>
        <w:tc>
          <w:tcPr>
            <w:tcW w:type="dxa" w:w="3600"/>
            <w:tcMar>
              <w:top w:type="dxa" w:w="80"/>
              <w:left w:type="dxa" w:w="120"/>
              <w:bottom w:type="dxa" w:w="80"/>
              <w:right w:type="dxa" w:w="120"/>
            </w:tcMar>
          </w:tcPr>
          <w:p>
            <w:r>
              <w:rPr>
                <w:b w:val="false"/>
                <w:bCs w:val="false"/>
                <w:color w:val="111111"/>
                <w:sz w:val="20"/>
                <w:szCs w:val="20"/>
              </w:rPr>
              <w:t xml:space="preserve">Market Snapshot position</w:t>
            </w:r>
          </w:p>
        </w:tc>
        <w:tc>
          <w:tcPr>
            <w:tcW w:type="dxa" w:w="2000"/>
            <w:tcMar>
              <w:top w:type="dxa" w:w="80"/>
              <w:left w:type="dxa" w:w="120"/>
              <w:bottom w:type="dxa" w:w="80"/>
              <w:right w:type="dxa" w:w="120"/>
            </w:tcMar>
          </w:tcPr>
          <w:p>
            <w:r>
              <w:rPr>
                <w:b w:val="false"/>
                <w:bCs w:val="false"/>
                <w:color w:val="111111"/>
                <w:sz w:val="20"/>
                <w:szCs w:val="20"/>
              </w:rPr>
              <w:t xml:space="preserve">Not covered</w:t>
            </w:r>
          </w:p>
        </w:tc>
        <w:tc>
          <w:tcPr>
            <w:tcW w:type="dxa" w:w="2000"/>
            <w:tcMar>
              <w:top w:type="dxa" w:w="80"/>
              <w:left w:type="dxa" w:w="120"/>
              <w:bottom w:type="dxa" w:w="80"/>
              <w:right w:type="dxa" w:w="120"/>
            </w:tcMar>
          </w:tcPr>
          <w:p>
            <w:r>
              <w:rPr>
                <w:b w:val="false"/>
                <w:bCs w:val="false"/>
                <w:color w:val="111111"/>
                <w:sz w:val="20"/>
                <w:szCs w:val="20"/>
              </w:rPr>
              <w:t xml:space="preserve">✓ Move above opportunity list</w:t>
            </w:r>
          </w:p>
        </w:tc>
        <w:tc>
          <w:tcPr>
            <w:tcW w:type="dxa" w:w="1760"/>
            <w:shd w:fill="FFF8E1" w:val="clear"/>
            <w:tcMar>
              <w:top w:type="dxa" w:w="80"/>
              <w:left w:type="dxa" w:w="120"/>
              <w:bottom w:type="dxa" w:w="80"/>
              <w:right w:type="dxa" w:w="120"/>
            </w:tcMar>
          </w:tcPr>
          <w:p>
            <w:r>
              <w:rPr>
                <w:b w:val="false"/>
                <w:bCs w:val="false"/>
                <w:color w:val="111111"/>
                <w:sz w:val="20"/>
                <w:szCs w:val="20"/>
              </w:rPr>
              <w:t xml:space="preserve">NEW from GPT — add to brief</w:t>
            </w:r>
          </w:p>
        </w:tc>
      </w:tr>
      <w:tr>
        <w:tc>
          <w:tcPr>
            <w:tcW w:type="dxa" w:w="3600"/>
            <w:tcMar>
              <w:top w:type="dxa" w:w="80"/>
              <w:left w:type="dxa" w:w="120"/>
              <w:bottom w:type="dxa" w:w="80"/>
              <w:right w:type="dxa" w:w="120"/>
            </w:tcMar>
          </w:tcPr>
          <w:p>
            <w:r>
              <w:rPr>
                <w:b w:val="false"/>
                <w:bCs w:val="false"/>
                <w:color w:val="111111"/>
                <w:sz w:val="20"/>
                <w:szCs w:val="20"/>
              </w:rPr>
              <w:t xml:space="preserve">Pattern direction tags</w:t>
            </w:r>
          </w:p>
        </w:tc>
        <w:tc>
          <w:tcPr>
            <w:tcW w:type="dxa" w:w="2000"/>
            <w:tcMar>
              <w:top w:type="dxa" w:w="80"/>
              <w:left w:type="dxa" w:w="120"/>
              <w:bottom w:type="dxa" w:w="80"/>
              <w:right w:type="dxa" w:w="120"/>
            </w:tcMar>
          </w:tcPr>
          <w:p>
            <w:r>
              <w:rPr>
                <w:b w:val="false"/>
                <w:bCs w:val="false"/>
                <w:color w:val="111111"/>
                <w:sz w:val="20"/>
                <w:szCs w:val="20"/>
              </w:rPr>
              <w:t xml:space="preserve">✓ Full P1 spec</w:t>
            </w:r>
          </w:p>
        </w:tc>
        <w:tc>
          <w:tcPr>
            <w:tcW w:type="dxa" w:w="2000"/>
            <w:tcMar>
              <w:top w:type="dxa" w:w="80"/>
              <w:left w:type="dxa" w:w="120"/>
              <w:bottom w:type="dxa" w:w="80"/>
              <w:right w:type="dxa" w:w="120"/>
            </w:tcMar>
          </w:tcPr>
          <w:p>
            <w:r>
              <w:rPr>
                <w:b w:val="false"/>
                <w:bCs w:val="false"/>
                <w:color w:val="111111"/>
                <w:sz w:val="20"/>
                <w:szCs w:val="20"/>
              </w:rPr>
              <w:t xml:space="preserve">Not covered</w:t>
            </w:r>
          </w:p>
        </w:tc>
        <w:tc>
          <w:tcPr>
            <w:tcW w:type="dxa" w:w="1760"/>
            <w:shd w:fill="EEF2F8" w:val="clear"/>
            <w:tcMar>
              <w:top w:type="dxa" w:w="80"/>
              <w:left w:type="dxa" w:w="120"/>
              <w:bottom w:type="dxa" w:w="80"/>
              <w:right w:type="dxa" w:w="120"/>
            </w:tcMar>
          </w:tcPr>
          <w:p>
            <w:r>
              <w:rPr>
                <w:b w:val="false"/>
                <w:bCs w:val="false"/>
                <w:color w:val="111111"/>
                <w:sz w:val="20"/>
                <w:szCs w:val="20"/>
              </w:rPr>
              <w:t xml:space="preserve">NEW from Claude session</w:t>
            </w:r>
          </w:p>
        </w:tc>
      </w:tr>
      <w:tr>
        <w:tc>
          <w:tcPr>
            <w:tcW w:type="dxa" w:w="3600"/>
            <w:tcMar>
              <w:top w:type="dxa" w:w="80"/>
              <w:left w:type="dxa" w:w="120"/>
              <w:bottom w:type="dxa" w:w="80"/>
              <w:right w:type="dxa" w:w="120"/>
            </w:tcMar>
          </w:tcPr>
          <w:p>
            <w:r>
              <w:rPr>
                <w:b w:val="false"/>
                <w:bCs w:val="false"/>
                <w:color w:val="111111"/>
                <w:sz w:val="20"/>
                <w:szCs w:val="20"/>
              </w:rPr>
              <w:t xml:space="preserve">Cross-venue DECLARED architecture</w:t>
            </w:r>
          </w:p>
        </w:tc>
        <w:tc>
          <w:tcPr>
            <w:tcW w:type="dxa" w:w="2000"/>
            <w:tcMar>
              <w:top w:type="dxa" w:w="80"/>
              <w:left w:type="dxa" w:w="120"/>
              <w:bottom w:type="dxa" w:w="80"/>
              <w:right w:type="dxa" w:w="120"/>
            </w:tcMar>
          </w:tcPr>
          <w:p>
            <w:r>
              <w:rPr>
                <w:b w:val="false"/>
                <w:bCs w:val="false"/>
                <w:color w:val="111111"/>
                <w:sz w:val="20"/>
                <w:szCs w:val="20"/>
              </w:rPr>
              <w:t xml:space="preserve">✓ Full P2-P4 spec</w:t>
            </w:r>
          </w:p>
        </w:tc>
        <w:tc>
          <w:tcPr>
            <w:tcW w:type="dxa" w:w="2000"/>
            <w:tcMar>
              <w:top w:type="dxa" w:w="80"/>
              <w:left w:type="dxa" w:w="120"/>
              <w:bottom w:type="dxa" w:w="80"/>
              <w:right w:type="dxa" w:w="120"/>
            </w:tcMar>
          </w:tcPr>
          <w:p>
            <w:r>
              <w:rPr>
                <w:b w:val="false"/>
                <w:bCs w:val="false"/>
                <w:color w:val="111111"/>
                <w:sz w:val="20"/>
                <w:szCs w:val="20"/>
              </w:rPr>
              <w:t xml:space="preserve">Not covered</w:t>
            </w:r>
          </w:p>
        </w:tc>
        <w:tc>
          <w:tcPr>
            <w:tcW w:type="dxa" w:w="1760"/>
            <w:shd w:fill="EEF2F8" w:val="clear"/>
            <w:tcMar>
              <w:top w:type="dxa" w:w="80"/>
              <w:left w:type="dxa" w:w="120"/>
              <w:bottom w:type="dxa" w:w="80"/>
              <w:right w:type="dxa" w:w="120"/>
            </w:tcMar>
          </w:tcPr>
          <w:p>
            <w:r>
              <w:rPr>
                <w:b w:val="false"/>
                <w:bCs w:val="false"/>
                <w:color w:val="111111"/>
                <w:sz w:val="20"/>
                <w:szCs w:val="20"/>
              </w:rPr>
              <w:t xml:space="preserve">NEW from Claude session</w:t>
            </w:r>
          </w:p>
        </w:tc>
      </w:tr>
    </w:tbl>
    <w:p>
      <w:pPr>
        <w:spacing w:after="40" w:before="40"/>
      </w:pPr>
    </w:p>
    <w:p>
      <w:pPr>
        <w:pBdr>
          <w:bottom w:val="single" w:color="1F3A7A" w:sz="8"/>
        </w:pBdr>
        <w:spacing w:after="200" w:before="200"/>
      </w:pPr>
    </w:p>
    <w:p>
      <w:pPr>
        <w:pStyle w:val="Heading1"/>
        <w:spacing w:after="120" w:before="400"/>
      </w:pPr>
      <w:r>
        <w:rPr>
          <w:b/>
          <w:bCs/>
          <w:color w:val="1F3A7A"/>
          <w:sz w:val="34"/>
          <w:szCs w:val="34"/>
        </w:rPr>
        <w:t xml:space="preserve">Decisions Needed Before Handing to Claude Code</w:t>
      </w:r>
    </w:p>
    <w:p>
      <w:pPr>
        <w:spacing w:after="80" w:before="60"/>
      </w:pPr>
      <w:r>
        <w:rPr>
          <w:color w:val="111111"/>
          <w:sz w:val="20"/>
          <w:szCs w:val="20"/>
        </w:rPr>
        <w:t xml:space="preserve">Resolve these two items before the Claude Code session begins. They affect tab labels and button text across every view.</w:t>
      </w:r>
    </w:p>
    <w:p>
      <w:pPr>
        <w:spacing w:after="40" w:before="40"/>
      </w:pPr>
    </w:p>
    <w:p>
      <w:pPr>
        <w:pStyle w:val="Heading2"/>
        <w:spacing w:after="80" w:before="260"/>
      </w:pPr>
      <w:r>
        <w:rPr>
          <w:b/>
          <w:bCs/>
          <w:color w:val="111111"/>
          <w:sz w:val="26"/>
          <w:szCs w:val="26"/>
        </w:rPr>
        <w:t xml:space="preserve">Decision 1 — Lottery Tab Rename</w:t>
      </w:r>
    </w:p>
    <w:p>
      <w:pPr>
        <w:spacing w:after="80" w:before="60"/>
      </w:pPr>
      <w:r>
        <w:rPr>
          <w:color w:val="111111"/>
          <w:sz w:val="20"/>
          <w:szCs w:val="20"/>
        </w:rPr>
        <w:t xml:space="preserve">Both reviews agree 'Lottery' must go. Name options: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800"/>
        <w:gridCol w:w="3780"/>
        <w:gridCol w:w="3780"/>
      </w:tblGrid>
      <w:tr>
        <w:tc>
          <w:tcPr>
            <w:tcW w:type="dxa" w:w="1800"/>
            <w:shd w:fill="EEF2F8" w:val="clear"/>
            <w:tcMar>
              <w:top w:type="dxa" w:w="80"/>
              <w:left w:type="dxa" w:w="120"/>
              <w:bottom w:type="dxa" w:w="80"/>
              <w:right w:type="dxa" w:w="120"/>
            </w:tcMar>
          </w:tcPr>
          <w:p>
            <w:r>
              <w:rPr>
                <w:b/>
                <w:bCs/>
                <w:color w:val="111111"/>
                <w:sz w:val="20"/>
                <w:szCs w:val="20"/>
              </w:rPr>
              <w:t xml:space="preserve">Option</w:t>
            </w:r>
          </w:p>
        </w:tc>
        <w:tc>
          <w:tcPr>
            <w:tcW w:type="dxa" w:w="3780"/>
            <w:shd w:fill="EEF2F8" w:val="clear"/>
            <w:tcMar>
              <w:top w:type="dxa" w:w="80"/>
              <w:left w:type="dxa" w:w="120"/>
              <w:bottom w:type="dxa" w:w="80"/>
              <w:right w:type="dxa" w:w="120"/>
            </w:tcMar>
          </w:tcPr>
          <w:p>
            <w:r>
              <w:rPr>
                <w:b/>
                <w:bCs/>
                <w:color w:val="111111"/>
                <w:sz w:val="20"/>
                <w:szCs w:val="20"/>
              </w:rPr>
              <w:t xml:space="preserve">Argument For</w:t>
            </w:r>
          </w:p>
        </w:tc>
        <w:tc>
          <w:tcPr>
            <w:tcW w:type="dxa" w:w="3780"/>
            <w:shd w:fill="EEF2F8" w:val="clear"/>
            <w:tcMar>
              <w:top w:type="dxa" w:w="80"/>
              <w:left w:type="dxa" w:w="120"/>
              <w:bottom w:type="dxa" w:w="80"/>
              <w:right w:type="dxa" w:w="120"/>
            </w:tcMar>
          </w:tcPr>
          <w:p>
            <w:r>
              <w:rPr>
                <w:b/>
                <w:bCs/>
                <w:color w:val="111111"/>
                <w:sz w:val="20"/>
                <w:szCs w:val="20"/>
              </w:rPr>
              <w:t xml:space="preserve">Argument Against</w:t>
            </w:r>
          </w:p>
        </w:tc>
      </w:tr>
      <w:tr>
        <w:tc>
          <w:tcPr>
            <w:tcW w:type="dxa" w:w="1800"/>
            <w:tcMar>
              <w:top w:type="dxa" w:w="80"/>
              <w:left w:type="dxa" w:w="120"/>
              <w:bottom w:type="dxa" w:w="80"/>
              <w:right w:type="dxa" w:w="120"/>
            </w:tcMar>
          </w:tcPr>
          <w:p>
            <w:r>
              <w:rPr>
                <w:b w:val="false"/>
                <w:bCs w:val="false"/>
                <w:color w:val="111111"/>
                <w:sz w:val="20"/>
                <w:szCs w:val="20"/>
              </w:rPr>
              <w:t xml:space="preserve">Momentum</w:t>
            </w:r>
          </w:p>
        </w:tc>
        <w:tc>
          <w:tcPr>
            <w:tcW w:type="dxa" w:w="3780"/>
            <w:tcMar>
              <w:top w:type="dxa" w:w="80"/>
              <w:left w:type="dxa" w:w="120"/>
              <w:bottom w:type="dxa" w:w="80"/>
              <w:right w:type="dxa" w:w="120"/>
            </w:tcMar>
          </w:tcPr>
          <w:p>
            <w:r>
              <w:rPr>
                <w:b w:val="false"/>
                <w:bCs w:val="false"/>
                <w:color w:val="111111"/>
                <w:sz w:val="20"/>
                <w:szCs w:val="20"/>
              </w:rPr>
              <w:t xml:space="preserve">Describes the signal basis (RSI, SMA, directional). Clean, professional, short.</w:t>
            </w:r>
          </w:p>
        </w:tc>
        <w:tc>
          <w:tcPr>
            <w:tcW w:type="dxa" w:w="3780"/>
            <w:tcMar>
              <w:top w:type="dxa" w:w="80"/>
              <w:left w:type="dxa" w:w="120"/>
              <w:bottom w:type="dxa" w:w="80"/>
              <w:right w:type="dxa" w:w="120"/>
            </w:tcMar>
          </w:tcPr>
          <w:p>
            <w:r>
              <w:rPr>
                <w:b w:val="false"/>
                <w:bCs w:val="false"/>
                <w:color w:val="111111"/>
                <w:sz w:val="20"/>
                <w:szCs w:val="20"/>
              </w:rPr>
              <w:t xml:space="preserve">Generic — doesn't distinguish from generic momentum screeners.</w:t>
            </w:r>
          </w:p>
        </w:tc>
      </w:tr>
      <w:tr>
        <w:tc>
          <w:tcPr>
            <w:tcW w:type="dxa" w:w="1800"/>
            <w:shd w:fill="FFF8E1" w:val="clear"/>
            <w:tcMar>
              <w:top w:type="dxa" w:w="80"/>
              <w:left w:type="dxa" w:w="120"/>
              <w:bottom w:type="dxa" w:w="80"/>
              <w:right w:type="dxa" w:w="120"/>
            </w:tcMar>
          </w:tcPr>
          <w:p>
            <w:r>
              <w:rPr>
                <w:b w:val="false"/>
                <w:bCs w:val="false"/>
                <w:color w:val="111111"/>
                <w:sz w:val="20"/>
                <w:szCs w:val="20"/>
              </w:rPr>
              <w:t xml:space="preserve">Asymmetry</w:t>
            </w:r>
          </w:p>
        </w:tc>
        <w:tc>
          <w:tcPr>
            <w:tcW w:type="dxa" w:w="3780"/>
            <w:shd w:fill="FFF8E1" w:val="clear"/>
            <w:tcMar>
              <w:top w:type="dxa" w:w="80"/>
              <w:left w:type="dxa" w:w="120"/>
              <w:bottom w:type="dxa" w:w="80"/>
              <w:right w:type="dxa" w:w="120"/>
            </w:tcMar>
          </w:tcPr>
          <w:p>
            <w:r>
              <w:rPr>
                <w:b w:val="false"/>
                <w:bCs w:val="false"/>
                <w:color w:val="111111"/>
                <w:sz w:val="20"/>
                <w:szCs w:val="20"/>
              </w:rPr>
              <w:t xml:space="preserve">GPT-4o recommendation. Communicates risk/reward structure. Sounds quantitative. 'Asymmetric upside' is the actual thesis.</w:t>
            </w:r>
          </w:p>
        </w:tc>
        <w:tc>
          <w:tcPr>
            <w:tcW w:type="dxa" w:w="3780"/>
            <w:shd w:fill="FFF8E1" w:val="clear"/>
            <w:tcMar>
              <w:top w:type="dxa" w:w="80"/>
              <w:left w:type="dxa" w:w="120"/>
              <w:bottom w:type="dxa" w:w="80"/>
              <w:right w:type="dxa" w:w="120"/>
            </w:tcMar>
          </w:tcPr>
          <w:p>
            <w:r>
              <w:rPr>
                <w:b w:val="false"/>
                <w:bCs w:val="false"/>
                <w:color w:val="111111"/>
                <w:sz w:val="20"/>
                <w:szCs w:val="20"/>
              </w:rPr>
              <w:t xml:space="preserve">Non-obvious to non-professional audience — 'what is asymmetry?'</w:t>
            </w:r>
          </w:p>
        </w:tc>
      </w:tr>
      <w:tr>
        <w:tc>
          <w:tcPr>
            <w:tcW w:type="dxa" w:w="1800"/>
            <w:tcMar>
              <w:top w:type="dxa" w:w="80"/>
              <w:left w:type="dxa" w:w="120"/>
              <w:bottom w:type="dxa" w:w="80"/>
              <w:right w:type="dxa" w:w="120"/>
            </w:tcMar>
          </w:tcPr>
          <w:p>
            <w:r>
              <w:rPr>
                <w:b w:val="false"/>
                <w:bCs w:val="false"/>
                <w:color w:val="111111"/>
                <w:sz w:val="20"/>
                <w:szCs w:val="20"/>
              </w:rPr>
              <w:t xml:space="preserve">Edge Calls</w:t>
            </w:r>
          </w:p>
        </w:tc>
        <w:tc>
          <w:tcPr>
            <w:tcW w:type="dxa" w:w="3780"/>
            <w:tcMar>
              <w:top w:type="dxa" w:w="80"/>
              <w:left w:type="dxa" w:w="120"/>
              <w:bottom w:type="dxa" w:w="80"/>
              <w:right w:type="dxa" w:w="120"/>
            </w:tcMar>
          </w:tcPr>
          <w:p>
            <w:r>
              <w:rPr>
                <w:b w:val="false"/>
                <w:bCs w:val="false"/>
                <w:color w:val="111111"/>
                <w:sz w:val="20"/>
                <w:szCs w:val="20"/>
              </w:rPr>
              <w:t xml:space="preserve">Connects to VEGA's edge language. Makes it clear these are thesis-driven.</w:t>
            </w:r>
          </w:p>
        </w:tc>
        <w:tc>
          <w:tcPr>
            <w:tcW w:type="dxa" w:w="3780"/>
            <w:tcMar>
              <w:top w:type="dxa" w:w="80"/>
              <w:left w:type="dxa" w:w="120"/>
              <w:bottom w:type="dxa" w:w="80"/>
              <w:right w:type="dxa" w:w="120"/>
            </w:tcMar>
          </w:tcPr>
          <w:p>
            <w:r>
              <w:rPr>
                <w:b w:val="false"/>
                <w:bCs w:val="false"/>
                <w:color w:val="111111"/>
                <w:sz w:val="20"/>
                <w:szCs w:val="20"/>
              </w:rPr>
              <w:t xml:space="preserve">'Calls' implies only calls, not puts.</w:t>
            </w:r>
          </w:p>
        </w:tc>
      </w:tr>
      <w:tr>
        <w:tc>
          <w:tcPr>
            <w:tcW w:type="dxa" w:w="1800"/>
            <w:tcMar>
              <w:top w:type="dxa" w:w="80"/>
              <w:left w:type="dxa" w:w="120"/>
              <w:bottom w:type="dxa" w:w="80"/>
              <w:right w:type="dxa" w:w="120"/>
            </w:tcMar>
          </w:tcPr>
          <w:p>
            <w:r>
              <w:rPr>
                <w:b w:val="false"/>
                <w:bCs w:val="false"/>
                <w:color w:val="111111"/>
                <w:sz w:val="20"/>
                <w:szCs w:val="20"/>
              </w:rPr>
              <w:t xml:space="preserve">Swing Edge</w:t>
            </w:r>
          </w:p>
        </w:tc>
        <w:tc>
          <w:tcPr>
            <w:tcW w:type="dxa" w:w="3780"/>
            <w:tcMar>
              <w:top w:type="dxa" w:w="80"/>
              <w:left w:type="dxa" w:w="120"/>
              <w:bottom w:type="dxa" w:w="80"/>
              <w:right w:type="dxa" w:w="120"/>
            </w:tcMar>
          </w:tcPr>
          <w:p>
            <w:r>
              <w:rPr>
                <w:b w:val="false"/>
                <w:bCs w:val="false"/>
                <w:color w:val="111111"/>
                <w:sz w:val="20"/>
                <w:szCs w:val="20"/>
              </w:rPr>
              <w:t xml:space="preserve">Combines direction and thesis.</w:t>
            </w:r>
          </w:p>
        </w:tc>
        <w:tc>
          <w:tcPr>
            <w:tcW w:type="dxa" w:w="3780"/>
            <w:tcMar>
              <w:top w:type="dxa" w:w="80"/>
              <w:left w:type="dxa" w:w="120"/>
              <w:bottom w:type="dxa" w:w="80"/>
              <w:right w:type="dxa" w:w="120"/>
            </w:tcMar>
          </w:tcPr>
          <w:p>
            <w:r>
              <w:rPr>
                <w:b w:val="false"/>
                <w:bCs w:val="false"/>
                <w:color w:val="111111"/>
                <w:sz w:val="20"/>
                <w:szCs w:val="20"/>
              </w:rPr>
              <w:t xml:space="preserve">Two words — slightly verbose for tab label.</w:t>
            </w:r>
          </w:p>
        </w:tc>
      </w:tr>
    </w:tbl>
    <w:p>
      <w:pPr>
        <w:spacing w:after="80" w:before="60"/>
      </w:pPr>
      <w:r>
        <w:rPr>
          <w:color w:val="111111"/>
          <w:sz w:val="20"/>
          <w:szCs w:val="20"/>
        </w:rPr>
        <w:t xml:space="preserve">Recommendation: Asymmetry for SaaS/professional Layer 3; Momentum for SpreadSignal Layer 2 public launch. If building one version, Asymmetry is the stronger brand choice — it can be explained in the subtitle.</w:t>
      </w:r>
    </w:p>
    <w:p>
      <w:pPr>
        <w:spacing w:after="40" w:before="40"/>
      </w:pPr>
    </w:p>
    <w:p>
      <w:pPr>
        <w:pStyle w:val="Heading2"/>
        <w:spacing w:after="80" w:before="260"/>
      </w:pPr>
      <w:r>
        <w:rPr>
          <w:b/>
          <w:bCs/>
          <w:color w:val="111111"/>
          <w:sz w:val="26"/>
          <w:szCs w:val="26"/>
        </w:rPr>
        <w:t xml:space="preserve">Decision 2 — Bitcoin/Cross-Venue Tab Rename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800"/>
        <w:gridCol w:w="3780"/>
        <w:gridCol w:w="3780"/>
      </w:tblGrid>
      <w:tr>
        <w:tc>
          <w:tcPr>
            <w:tcW w:type="dxa" w:w="1800"/>
            <w:shd w:fill="EEF2F8" w:val="clear"/>
            <w:tcMar>
              <w:top w:type="dxa" w:w="80"/>
              <w:left w:type="dxa" w:w="120"/>
              <w:bottom w:type="dxa" w:w="80"/>
              <w:right w:type="dxa" w:w="120"/>
            </w:tcMar>
          </w:tcPr>
          <w:p>
            <w:r>
              <w:rPr>
                <w:b/>
                <w:bCs/>
                <w:color w:val="111111"/>
                <w:sz w:val="20"/>
                <w:szCs w:val="20"/>
              </w:rPr>
              <w:t xml:space="preserve">Option</w:t>
            </w:r>
          </w:p>
        </w:tc>
        <w:tc>
          <w:tcPr>
            <w:tcW w:type="dxa" w:w="3780"/>
            <w:shd w:fill="EEF2F8" w:val="clear"/>
            <w:tcMar>
              <w:top w:type="dxa" w:w="80"/>
              <w:left w:type="dxa" w:w="120"/>
              <w:bottom w:type="dxa" w:w="80"/>
              <w:right w:type="dxa" w:w="120"/>
            </w:tcMar>
          </w:tcPr>
          <w:p>
            <w:r>
              <w:rPr>
                <w:b/>
                <w:bCs/>
                <w:color w:val="111111"/>
                <w:sz w:val="20"/>
                <w:szCs w:val="20"/>
              </w:rPr>
              <w:t xml:space="preserve">Argument For</w:t>
            </w:r>
          </w:p>
        </w:tc>
        <w:tc>
          <w:tcPr>
            <w:tcW w:type="dxa" w:w="3780"/>
            <w:shd w:fill="EEF2F8" w:val="clear"/>
            <w:tcMar>
              <w:top w:type="dxa" w:w="80"/>
              <w:left w:type="dxa" w:w="120"/>
              <w:bottom w:type="dxa" w:w="80"/>
              <w:right w:type="dxa" w:w="120"/>
            </w:tcMar>
          </w:tcPr>
          <w:p>
            <w:r>
              <w:rPr>
                <w:b/>
                <w:bCs/>
                <w:color w:val="111111"/>
                <w:sz w:val="20"/>
                <w:szCs w:val="20"/>
              </w:rPr>
              <w:t xml:space="preserve">When It Fails</w:t>
            </w:r>
          </w:p>
        </w:tc>
      </w:tr>
      <w:tr>
        <w:tc>
          <w:tcPr>
            <w:tcW w:type="dxa" w:w="1800"/>
            <w:tcMar>
              <w:top w:type="dxa" w:w="80"/>
              <w:left w:type="dxa" w:w="120"/>
              <w:bottom w:type="dxa" w:w="80"/>
              <w:right w:type="dxa" w:w="120"/>
            </w:tcMar>
          </w:tcPr>
          <w:p>
            <w:r>
              <w:rPr>
                <w:b w:val="false"/>
                <w:bCs w:val="false"/>
                <w:color w:val="111111"/>
                <w:sz w:val="20"/>
                <w:szCs w:val="20"/>
              </w:rPr>
              <w:t xml:space="preserve">Crypto</w:t>
            </w:r>
          </w:p>
        </w:tc>
        <w:tc>
          <w:tcPr>
            <w:tcW w:type="dxa" w:w="3780"/>
            <w:tcMar>
              <w:top w:type="dxa" w:w="80"/>
              <w:left w:type="dxa" w:w="120"/>
              <w:bottom w:type="dxa" w:w="80"/>
              <w:right w:type="dxa" w:w="120"/>
            </w:tcMar>
          </w:tcPr>
          <w:p>
            <w:r>
              <w:rPr>
                <w:b w:val="false"/>
                <w:bCs w:val="false"/>
                <w:color w:val="111111"/>
                <w:sz w:val="20"/>
                <w:szCs w:val="20"/>
              </w:rPr>
              <w:t xml:space="preserve">Claude session recommendation. Accurate, short, scalable to ETH/SOL/BTC in one tab.</w:t>
            </w:r>
          </w:p>
        </w:tc>
        <w:tc>
          <w:tcPr>
            <w:tcW w:type="dxa" w:w="3780"/>
            <w:tcMar>
              <w:top w:type="dxa" w:w="80"/>
              <w:left w:type="dxa" w:w="120"/>
              <w:bottom w:type="dxa" w:w="80"/>
              <w:right w:type="dxa" w:w="120"/>
            </w:tcMar>
          </w:tcPr>
          <w:p>
            <w:r>
              <w:rPr>
                <w:b w:val="false"/>
                <w:bCs w:val="false"/>
                <w:color w:val="111111"/>
                <w:sz w:val="20"/>
                <w:szCs w:val="20"/>
              </w:rPr>
              <w:t xml:space="preserve">Loses the cross-venue research identity — 'Crypto' sounds like a price ticker.</w:t>
            </w:r>
          </w:p>
        </w:tc>
      </w:tr>
      <w:tr>
        <w:tc>
          <w:tcPr>
            <w:tcW w:type="dxa" w:w="1800"/>
            <w:shd w:fill="FFF8E1" w:val="clear"/>
            <w:tcMar>
              <w:top w:type="dxa" w:w="80"/>
              <w:left w:type="dxa" w:w="120"/>
              <w:bottom w:type="dxa" w:w="80"/>
              <w:right w:type="dxa" w:w="120"/>
            </w:tcMar>
          </w:tcPr>
          <w:p>
            <w:r>
              <w:rPr>
                <w:b w:val="false"/>
                <w:bCs w:val="false"/>
                <w:color w:val="111111"/>
                <w:sz w:val="20"/>
                <w:szCs w:val="20"/>
              </w:rPr>
              <w:t xml:space="preserve">Research</w:t>
            </w:r>
          </w:p>
        </w:tc>
        <w:tc>
          <w:tcPr>
            <w:tcW w:type="dxa" w:w="3780"/>
            <w:shd w:fill="FFF8E1" w:val="clear"/>
            <w:tcMar>
              <w:top w:type="dxa" w:w="80"/>
              <w:left w:type="dxa" w:w="120"/>
              <w:bottom w:type="dxa" w:w="80"/>
              <w:right w:type="dxa" w:w="120"/>
            </w:tcMar>
          </w:tcPr>
          <w:p>
            <w:r>
              <w:rPr>
                <w:b w:val="false"/>
                <w:bCs w:val="false"/>
                <w:color w:val="111111"/>
                <w:sz w:val="20"/>
                <w:szCs w:val="20"/>
              </w:rPr>
              <w:t xml:space="preserve">GPT-4o recommendation. Positions BTC/ETH/cross-venue analysis as a research lab, not a primary trading signal. Room for future experimental models.</w:t>
            </w:r>
          </w:p>
        </w:tc>
        <w:tc>
          <w:tcPr>
            <w:tcW w:type="dxa" w:w="3780"/>
            <w:shd w:fill="FFF8E1" w:val="clear"/>
            <w:tcMar>
              <w:top w:type="dxa" w:w="80"/>
              <w:left w:type="dxa" w:w="120"/>
              <w:bottom w:type="dxa" w:w="80"/>
              <w:right w:type="dxa" w:w="120"/>
            </w:tcMar>
          </w:tcPr>
          <w:p>
            <w:r>
              <w:rPr>
                <w:b w:val="false"/>
                <w:bCs w:val="false"/>
                <w:color w:val="111111"/>
                <w:sz w:val="20"/>
                <w:szCs w:val="20"/>
              </w:rPr>
              <w:t xml:space="preserve">If BTC ever becomes a primary tradeable (not just research), the name is wrong.</w:t>
            </w:r>
          </w:p>
        </w:tc>
      </w:tr>
    </w:tbl>
    <w:p>
      <w:pPr>
        <w:spacing w:after="80" w:before="60"/>
      </w:pPr>
      <w:r>
        <w:rPr>
          <w:color w:val="111111"/>
          <w:sz w:val="20"/>
          <w:szCs w:val="20"/>
        </w:rPr>
        <w:t xml:space="preserve">Recommendation: Research for now — it is honest about the current maturity level of the crypto signals. Rename to Crypto when the cross-venue gap becomes a primary entry signal.</w:t>
      </w:r>
    </w:p>
    <w:p>
      <w:pPr>
        <w:spacing w:after="40" w:before="40"/>
      </w:pPr>
    </w:p>
    <w:p>
      <w:pPr>
        <w:pStyle w:val="Heading2"/>
        <w:spacing w:after="80" w:before="260"/>
      </w:pPr>
      <w:r>
        <w:rPr>
          <w:b/>
          <w:bCs/>
          <w:color w:val="111111"/>
          <w:sz w:val="26"/>
          <w:szCs w:val="26"/>
        </w:rPr>
        <w:t xml:space="preserve">Decision 3 — 'Recommended Action' vs. 'Recommended Setup'</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2200"/>
        <w:gridCol w:w="7160"/>
      </w:tblGrid>
      <w:tr>
        <w:tc>
          <w:tcPr>
            <w:tcW w:type="dxa" w:w="2200"/>
            <w:shd w:fill="EEF2F8" w:val="clear"/>
            <w:tcMar>
              <w:top w:type="dxa" w:w="80"/>
              <w:left w:type="dxa" w:w="120"/>
              <w:bottom w:type="dxa" w:w="80"/>
              <w:right w:type="dxa" w:w="120"/>
            </w:tcMar>
          </w:tcPr>
          <w:p>
            <w:r>
              <w:rPr>
                <w:b/>
                <w:bCs/>
                <w:color w:val="111111"/>
                <w:sz w:val="20"/>
                <w:szCs w:val="20"/>
              </w:rPr>
              <w:t xml:space="preserve">Option</w:t>
            </w:r>
          </w:p>
        </w:tc>
        <w:tc>
          <w:tcPr>
            <w:tcW w:type="dxa" w:w="7160"/>
            <w:shd w:fill="EEF2F8" w:val="clear"/>
            <w:tcMar>
              <w:top w:type="dxa" w:w="80"/>
              <w:left w:type="dxa" w:w="120"/>
              <w:bottom w:type="dxa" w:w="80"/>
              <w:right w:type="dxa" w:w="120"/>
            </w:tcMar>
          </w:tcPr>
          <w:p>
            <w:r>
              <w:rPr>
                <w:b/>
                <w:bCs/>
                <w:color w:val="111111"/>
                <w:sz w:val="20"/>
                <w:szCs w:val="20"/>
              </w:rPr>
              <w:t xml:space="preserve">Argument</w:t>
            </w:r>
          </w:p>
        </w:tc>
      </w:tr>
      <w:tr>
        <w:tc>
          <w:tcPr>
            <w:tcW w:type="dxa" w:w="2200"/>
            <w:tcMar>
              <w:top w:type="dxa" w:w="80"/>
              <w:left w:type="dxa" w:w="120"/>
              <w:bottom w:type="dxa" w:w="80"/>
              <w:right w:type="dxa" w:w="120"/>
            </w:tcMar>
          </w:tcPr>
          <w:p>
            <w:r>
              <w:rPr>
                <w:b w:val="false"/>
                <w:bCs w:val="false"/>
                <w:color w:val="111111"/>
                <w:sz w:val="20"/>
                <w:szCs w:val="20"/>
              </w:rPr>
              <w:t xml:space="preserve">Recommended Action</w:t>
            </w:r>
          </w:p>
        </w:tc>
        <w:tc>
          <w:tcPr>
            <w:tcW w:type="dxa" w:w="7160"/>
            <w:tcMar>
              <w:top w:type="dxa" w:w="80"/>
              <w:left w:type="dxa" w:w="120"/>
              <w:bottom w:type="dxa" w:w="80"/>
              <w:right w:type="dxa" w:w="120"/>
            </w:tcMar>
          </w:tcPr>
          <w:p>
            <w:r>
              <w:rPr>
                <w:b w:val="false"/>
                <w:bCs w:val="false"/>
                <w:color w:val="111111"/>
                <w:sz w:val="20"/>
                <w:szCs w:val="20"/>
              </w:rPr>
              <w:t xml:space="preserve">Current. Clear. Tells you what to do.</w:t>
            </w:r>
          </w:p>
        </w:tc>
      </w:tr>
      <w:tr>
        <w:tc>
          <w:tcPr>
            <w:tcW w:type="dxa" w:w="2200"/>
            <w:shd w:fill="FFF8E1" w:val="clear"/>
            <w:tcMar>
              <w:top w:type="dxa" w:w="80"/>
              <w:left w:type="dxa" w:w="120"/>
              <w:bottom w:type="dxa" w:w="80"/>
              <w:right w:type="dxa" w:w="120"/>
            </w:tcMar>
          </w:tcPr>
          <w:p>
            <w:r>
              <w:rPr>
                <w:b w:val="false"/>
                <w:bCs w:val="false"/>
                <w:color w:val="111111"/>
                <w:sz w:val="20"/>
                <w:szCs w:val="20"/>
              </w:rPr>
              <w:t xml:space="preserve">Recommended Setup</w:t>
            </w:r>
          </w:p>
        </w:tc>
        <w:tc>
          <w:tcPr>
            <w:tcW w:type="dxa" w:w="7160"/>
            <w:shd w:fill="FFF8E1" w:val="clear"/>
            <w:tcMar>
              <w:top w:type="dxa" w:w="80"/>
              <w:left w:type="dxa" w:w="120"/>
              <w:bottom w:type="dxa" w:w="80"/>
              <w:right w:type="dxa" w:w="120"/>
            </w:tcMar>
          </w:tcPr>
          <w:p>
            <w:r>
              <w:rPr>
                <w:b w:val="false"/>
                <w:bCs w:val="false"/>
                <w:color w:val="111111"/>
                <w:sz w:val="20"/>
                <w:szCs w:val="20"/>
              </w:rPr>
              <w:t xml:space="preserve">GPT-4o recommendation. Keeps VEGA in decision-support role — you are setting up a trade, not receiving an autonomous order. Avoids any implication of autonomous advice.</w:t>
            </w:r>
          </w:p>
        </w:tc>
      </w:tr>
    </w:tbl>
    <w:p>
      <w:pPr>
        <w:spacing w:after="80" w:before="60"/>
      </w:pPr>
      <w:r>
        <w:rPr>
          <w:color w:val="111111"/>
          <w:sz w:val="20"/>
          <w:szCs w:val="20"/>
        </w:rPr>
        <w:t xml:space="preserve">Recommendation: 'Recommended Setup' — it's a subtle but meaningful distinction that positions VEGA as a tool the trader uses, not an advisor that tells them what to do. This matters for the eventual legal disclaimer framing too.</w:t>
      </w:r>
    </w:p>
    <w:p>
      <w:pPr>
        <w:spacing w:after="40" w:before="40"/>
      </w:pPr>
    </w:p>
    <w:p>
      <w:pPr>
        <w:pBdr>
          <w:bottom w:val="single" w:color="1F3A7A" w:sz="8"/>
        </w:pBdr>
        <w:spacing w:after="200" w:before="200"/>
      </w:pPr>
    </w:p>
    <w:p>
      <w:pPr>
        <w:pStyle w:val="Heading1"/>
        <w:spacing w:after="120" w:before="400"/>
      </w:pPr>
      <w:r>
        <w:rPr>
          <w:b/>
          <w:bCs/>
          <w:color w:val="1F3A7A"/>
          <w:sz w:val="34"/>
          <w:szCs w:val="34"/>
        </w:rPr>
        <w:t xml:space="preserve">Pre-Session Gate</w:t>
      </w:r>
    </w:p>
    <w:p>
      <w:pPr>
        <w:spacing w:after="80" w:before="60"/>
      </w:pPr>
      <w:r>
        <w:rPr>
          <w:color w:val="111111"/>
          <w:sz w:val="20"/>
          <w:szCs w:val="20"/>
        </w:rPr>
        <w:t xml:space="preserve">Run the full test suite before touching any file. Last known baseline: 750 tests passing (2026-08-10 session, 13 commits).</w:t>
      </w:r>
    </w:p>
    <w:p>
      <w:pPr>
        <w:shd w:fill="F2F2F2" w:val="clear"/>
        <w:spacing w:after="16" w:before="16"/>
        <w:ind w:left="720"/>
      </w:pPr>
      <w:r>
        <w:rPr>
          <w:rFonts w:ascii="Courier New" w:cs="Courier New" w:eastAsia="Courier New" w:hAnsi="Courier New"/>
          <w:sz w:val="18"/>
          <w:szCs w:val="18"/>
        </w:rPr>
        <w:t xml:space="preserve">cd options_intelligence &amp;&amp; python -m pytest -v --tb=short</w:t>
      </w:r>
    </w:p>
    <w:p>
      <w:pPr>
        <w:spacing w:after="80" w:before="60"/>
      </w:pPr>
      <w:r>
        <w:rPr>
          <w:color w:val="111111"/>
          <w:sz w:val="20"/>
          <w:szCs w:val="20"/>
        </w:rPr>
        <w:t xml:space="preserve">Expected: 750+ tests, all green. Any failure stops everything.</w:t>
      </w:r>
    </w:p>
    <w:p>
      <w:pPr>
        <w:spacing w:after="40" w:before="40"/>
      </w:pPr>
    </w:p>
    <w:p>
      <w:pPr>
        <w:pBdr>
          <w:bottom w:val="single" w:color="1F3A7A" w:sz="8"/>
        </w:pBdr>
        <w:spacing w:after="200" w:before="200"/>
      </w:pPr>
    </w:p>
    <w:p>
      <w:pPr>
        <w:spacing w:after="120" w:before="200"/>
      </w:pPr>
      <w:r>
        <w:rPr>
          <w:b/>
          <w:bCs/>
          <w:color w:val="1F3A7A"/>
          <w:sz w:val="40"/>
          <w:szCs w:val="40"/>
        </w:rPr>
        <w:t xml:space="preserve">PART A — UI / Naming Improvements</w:t>
      </w:r>
    </w:p>
    <w:p>
      <w:pPr>
        <w:spacing w:after="80" w:before="60"/>
      </w:pPr>
      <w:r>
        <w:rPr>
          <w:color w:val="111111"/>
          <w:sz w:val="20"/>
          <w:szCs w:val="20"/>
        </w:rPr>
        <w:t xml:space="preserve">All Part A items are UI changes — copy, labels, layout, badge logic. No backend changes are required unless explicitly noted. Implement after P0 backend correctness items are confirmed.</w:t>
      </w:r>
    </w:p>
    <w:p>
      <w:pPr>
        <w:spacing w:after="40" w:before="40"/>
      </w:pPr>
    </w:p>
    <w:p>
      <w:pPr>
        <w:pStyle w:val="Heading1"/>
        <w:spacing w:after="120" w:before="400"/>
      </w:pPr>
      <w:r>
        <w:rPr>
          <w:b/>
          <w:bCs/>
          <w:color w:val="1F3A7A"/>
          <w:sz w:val="34"/>
          <w:szCs w:val="34"/>
        </w:rPr>
        <w:t xml:space="preserve">A1 — Tab and Section Naming (apply per Decisions above)</w:t>
      </w:r>
    </w:p>
    <w:p>
      <w:pPr>
        <w:spacing w:after="36" w:before="36"/>
        <w:ind w:left="480"/>
      </w:pPr>
      <w:r>
        <w:rPr>
          <w:sz w:val="20"/>
          <w:szCs w:val="20"/>
        </w:rPr>
        <w:t xml:space="preserve">•  Lottery → [DECISION 1 RESULT]  ·  page title: 'Asymmetry Plays' or 'Momentum Plays'</w:t>
      </w:r>
    </w:p>
    <w:p>
      <w:pPr>
        <w:spacing w:after="36" w:before="36"/>
        <w:ind w:left="480"/>
      </w:pPr>
      <w:r>
        <w:rPr>
          <w:sz w:val="20"/>
          <w:szCs w:val="20"/>
        </w:rPr>
        <w:t xml:space="preserve">•  Bitcoin → [DECISION 2 RESULT]  ·  page title: 'Crypto Research' or 'Crypto Markets'</w:t>
      </w:r>
    </w:p>
    <w:p>
      <w:pPr>
        <w:spacing w:after="36" w:before="36"/>
        <w:ind w:left="480"/>
      </w:pPr>
      <w:r>
        <w:rPr>
          <w:sz w:val="20"/>
          <w:szCs w:val="20"/>
        </w:rPr>
        <w:t xml:space="preserve">•  Block headers in Crypto/Research tab: '₿ Bitcoin (IBIT)'  ·  'Ξ Ethereum (ETHA)'  ·  '◎ Solana (SOL)'</w:t>
      </w:r>
    </w:p>
    <w:p>
      <w:pPr>
        <w:spacing w:after="36" w:before="36"/>
        <w:ind w:left="480"/>
      </w:pPr>
      <w:r>
        <w:rPr>
          <w:sz w:val="20"/>
          <w:szCs w:val="20"/>
        </w:rPr>
        <w:t xml:space="preserve">•  Subtitle under Lottery/Asymmetry page title: keep 'High-variance single-call swings. Capped cost.' — it is accurate</w:t>
      </w:r>
    </w:p>
    <w:p>
      <w:pPr>
        <w:spacing w:after="36" w:before="36"/>
        <w:ind w:left="480"/>
      </w:pPr>
      <w:r>
        <w:rPr>
          <w:sz w:val="20"/>
          <w:szCs w:val="20"/>
        </w:rPr>
        <w:t xml:space="preserve">•  Disclaimer banner on Lottery/Asymmetry page: KEEP VERBATIM — best-written copy on the dashboard</w:t>
      </w:r>
    </w:p>
    <w:p>
      <w:pPr>
        <w:spacing w:after="40" w:before="40"/>
      </w:pPr>
    </w:p>
    <w:p>
      <w:pPr>
        <w:pBdr>
          <w:bottom w:val="single" w:color="1F3A7A" w:sz="8"/>
        </w:pBdr>
        <w:spacing w:after="200" w:before="200"/>
      </w:pPr>
    </w:p>
    <w:p>
      <w:pPr>
        <w:pStyle w:val="Heading1"/>
        <w:spacing w:after="120" w:before="400"/>
      </w:pPr>
      <w:r>
        <w:rPr>
          <w:b/>
          <w:bCs/>
          <w:color w:val="1F3A7A"/>
          <w:sz w:val="34"/>
          <w:szCs w:val="34"/>
        </w:rPr>
        <w:t xml:space="preserve">A2 — Today / Mission Control Tab</w:t>
      </w:r>
    </w:p>
    <w:p>
      <w:pPr>
        <w:spacing w:after="60" w:before="40"/>
      </w:pPr>
      <w:r>
        <w:rPr>
          <w:b/>
          <w:bCs/>
          <w:color w:val="1A5E20"/>
          <w:sz w:val="20"/>
          <w:szCs w:val="20"/>
        </w:rPr>
        <w:t xml:space="preserve">▲ CONVERGENT — both reviews agree:  </w:t>
      </w:r>
      <w:r>
        <w:rPr>
          <w:sz w:val="20"/>
          <w:szCs w:val="20"/>
        </w:rPr>
        <w:t xml:space="preserve">This is the core VEGA product. Both reviews agree: the workflow architecture is correct. Every change below sharpens it — nothing rebuilds it.</w:t>
      </w:r>
    </w:p>
    <w:p>
      <w:pPr>
        <w:spacing w:after="40" w:before="40"/>
      </w:pPr>
    </w:p>
    <w:p>
      <w:pPr>
        <w:pStyle w:val="Heading2"/>
        <w:spacing w:after="80" w:before="260"/>
      </w:pPr>
      <w:r>
        <w:rPr>
          <w:b/>
          <w:bCs/>
          <w:color w:val="111111"/>
          <w:sz w:val="26"/>
          <w:szCs w:val="26"/>
        </w:rPr>
        <w:t xml:space="preserve">A2-1  'Today's Call' card — fix the Stand Aside contradiction  [CRITICAL — NEW from GPT]</w:t>
      </w:r>
    </w:p>
    <w:p>
      <w:pPr>
        <w:spacing w:after="80" w:before="60"/>
      </w:pPr>
      <w:r>
        <w:rPr>
          <w:color w:val="111111"/>
          <w:sz w:val="20"/>
          <w:szCs w:val="20"/>
        </w:rPr>
        <w:t xml:space="preserve">Current: card says 'Today's Call: STAND ASIDE' while simultaneously showing WMT Bear Call as the best opportunity. A non-professional user reads these as contradictory instructions.</w:t>
      </w:r>
    </w:p>
    <w:p>
      <w:pPr>
        <w:spacing w:after="80" w:before="60"/>
      </w:pPr>
      <w:r>
        <w:rPr>
          <w:color w:val="111111"/>
          <w:sz w:val="20"/>
          <w:szCs w:val="20"/>
        </w:rPr>
        <w:t xml:space="preserve">Root cause: STAND ASIDE is being used to mean 'the environment is suboptimal' rather than 'take no trades today.' These are different signals and must be visually and semantically separate.</w:t>
      </w:r>
    </w:p>
    <w:p>
      <w:pPr>
        <w:spacing w:after="40" w:before="40"/>
      </w:pPr>
    </w:p>
    <w:p>
      <w:pPr>
        <w:spacing w:after="80" w:before="60"/>
      </w:pPr>
      <w:r>
        <w:rPr>
          <w:color w:val="111111"/>
          <w:sz w:val="20"/>
          <w:szCs w:val="20"/>
        </w:rPr>
        <w:t xml:space="preserve">Fix — rename the card and introduce a semantic distinction in vega_status.py:</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2600"/>
        <w:gridCol w:w="1800"/>
        <w:gridCol w:w="1200"/>
        <w:gridCol w:w="3760"/>
      </w:tblGrid>
      <w:tr>
        <w:tc>
          <w:tcPr>
            <w:tcW w:type="dxa" w:w="2600"/>
            <w:shd w:fill="EEF2F8" w:val="clear"/>
            <w:tcMar>
              <w:top w:type="dxa" w:w="80"/>
              <w:left w:type="dxa" w:w="120"/>
              <w:bottom w:type="dxa" w:w="80"/>
              <w:right w:type="dxa" w:w="120"/>
            </w:tcMar>
          </w:tcPr>
          <w:p>
            <w:r>
              <w:rPr>
                <w:b/>
                <w:bCs/>
                <w:color w:val="111111"/>
                <w:sz w:val="20"/>
                <w:szCs w:val="20"/>
              </w:rPr>
              <w:t xml:space="preserve">Condition</w:t>
            </w:r>
          </w:p>
        </w:tc>
        <w:tc>
          <w:tcPr>
            <w:tcW w:type="dxa" w:w="1800"/>
            <w:shd w:fill="EEF2F8" w:val="clear"/>
            <w:tcMar>
              <w:top w:type="dxa" w:w="80"/>
              <w:left w:type="dxa" w:w="120"/>
              <w:bottom w:type="dxa" w:w="80"/>
              <w:right w:type="dxa" w:w="120"/>
            </w:tcMar>
          </w:tcPr>
          <w:p>
            <w:r>
              <w:rPr>
                <w:b/>
                <w:bCs/>
                <w:color w:val="111111"/>
                <w:sz w:val="20"/>
                <w:szCs w:val="20"/>
              </w:rPr>
              <w:t xml:space="preserve">Card Label</w:t>
            </w:r>
          </w:p>
        </w:tc>
        <w:tc>
          <w:tcPr>
            <w:tcW w:type="dxa" w:w="1200"/>
            <w:shd w:fill="EEF2F8" w:val="clear"/>
            <w:tcMar>
              <w:top w:type="dxa" w:w="80"/>
              <w:left w:type="dxa" w:w="120"/>
              <w:bottom w:type="dxa" w:w="80"/>
              <w:right w:type="dxa" w:w="120"/>
            </w:tcMar>
          </w:tcPr>
          <w:p>
            <w:r>
              <w:rPr>
                <w:b/>
                <w:bCs/>
                <w:color w:val="111111"/>
                <w:sz w:val="20"/>
                <w:szCs w:val="20"/>
              </w:rPr>
              <w:t xml:space="preserve">Color</w:t>
            </w:r>
          </w:p>
        </w:tc>
        <w:tc>
          <w:tcPr>
            <w:tcW w:type="dxa" w:w="3760"/>
            <w:shd w:fill="EEF2F8" w:val="clear"/>
            <w:tcMar>
              <w:top w:type="dxa" w:w="80"/>
              <w:left w:type="dxa" w:w="120"/>
              <w:bottom w:type="dxa" w:w="80"/>
              <w:right w:type="dxa" w:w="120"/>
            </w:tcMar>
          </w:tcPr>
          <w:p>
            <w:r>
              <w:rPr>
                <w:b/>
                <w:bCs/>
                <w:color w:val="111111"/>
                <w:sz w:val="20"/>
                <w:szCs w:val="20"/>
              </w:rPr>
              <w:t xml:space="preserve">Meaning</w:t>
            </w:r>
          </w:p>
        </w:tc>
      </w:tr>
      <w:tr>
        <w:tc>
          <w:tcPr>
            <w:tcW w:type="dxa" w:w="2600"/>
            <w:tcMar>
              <w:top w:type="dxa" w:w="80"/>
              <w:left w:type="dxa" w:w="120"/>
              <w:bottom w:type="dxa" w:w="80"/>
              <w:right w:type="dxa" w:w="120"/>
            </w:tcMar>
          </w:tcPr>
          <w:p>
            <w:r>
              <w:rPr>
                <w:b w:val="false"/>
                <w:bCs w:val="false"/>
                <w:color w:val="111111"/>
                <w:sz w:val="20"/>
                <w:szCs w:val="20"/>
              </w:rPr>
              <w:t xml:space="preserve">0 qualified candidates</w:t>
            </w:r>
          </w:p>
        </w:tc>
        <w:tc>
          <w:tcPr>
            <w:tcW w:type="dxa" w:w="1800"/>
            <w:tcMar>
              <w:top w:type="dxa" w:w="80"/>
              <w:left w:type="dxa" w:w="120"/>
              <w:bottom w:type="dxa" w:w="80"/>
              <w:right w:type="dxa" w:w="120"/>
            </w:tcMar>
          </w:tcPr>
          <w:p>
            <w:r>
              <w:rPr>
                <w:b w:val="false"/>
                <w:bCs w:val="false"/>
                <w:color w:val="111111"/>
                <w:sz w:val="20"/>
                <w:szCs w:val="20"/>
              </w:rPr>
              <w:t xml:space="preserve">STAND ASIDE</w:t>
            </w:r>
          </w:p>
        </w:tc>
        <w:tc>
          <w:tcPr>
            <w:tcW w:type="dxa" w:w="1200"/>
            <w:tcMar>
              <w:top w:type="dxa" w:w="80"/>
              <w:left w:type="dxa" w:w="120"/>
              <w:bottom w:type="dxa" w:w="80"/>
              <w:right w:type="dxa" w:w="120"/>
            </w:tcMar>
          </w:tcPr>
          <w:p>
            <w:r>
              <w:rPr>
                <w:b w:val="false"/>
                <w:bCs w:val="false"/>
                <w:color w:val="111111"/>
                <w:sz w:val="20"/>
                <w:szCs w:val="20"/>
              </w:rPr>
              <w:t xml:space="preserve">Red</w:t>
            </w:r>
          </w:p>
        </w:tc>
        <w:tc>
          <w:tcPr>
            <w:tcW w:type="dxa" w:w="3760"/>
            <w:tcMar>
              <w:top w:type="dxa" w:w="80"/>
              <w:left w:type="dxa" w:w="120"/>
              <w:bottom w:type="dxa" w:w="80"/>
              <w:right w:type="dxa" w:w="120"/>
            </w:tcMar>
          </w:tcPr>
          <w:p>
            <w:r>
              <w:rPr>
                <w:b w:val="false"/>
                <w:bCs w:val="false"/>
                <w:color w:val="111111"/>
                <w:sz w:val="20"/>
                <w:szCs w:val="20"/>
              </w:rPr>
              <w:t xml:space="preserve">VEGA finds no trades worth making today</w:t>
            </w:r>
          </w:p>
        </w:tc>
      </w:tr>
      <w:tr>
        <w:tc>
          <w:tcPr>
            <w:tcW w:type="dxa" w:w="2600"/>
            <w:tcMar>
              <w:top w:type="dxa" w:w="80"/>
              <w:left w:type="dxa" w:w="120"/>
              <w:bottom w:type="dxa" w:w="80"/>
              <w:right w:type="dxa" w:w="120"/>
            </w:tcMar>
          </w:tcPr>
          <w:p>
            <w:r>
              <w:rPr>
                <w:b w:val="false"/>
                <w:bCs w:val="false"/>
                <w:color w:val="111111"/>
                <w:sz w:val="20"/>
                <w:szCs w:val="20"/>
              </w:rPr>
              <w:t xml:space="preserve">1–5 qualified, poor VRP</w:t>
            </w:r>
          </w:p>
        </w:tc>
        <w:tc>
          <w:tcPr>
            <w:tcW w:type="dxa" w:w="1800"/>
            <w:tcMar>
              <w:top w:type="dxa" w:w="80"/>
              <w:left w:type="dxa" w:w="120"/>
              <w:bottom w:type="dxa" w:w="80"/>
              <w:right w:type="dxa" w:w="120"/>
            </w:tcMar>
          </w:tcPr>
          <w:p>
            <w:r>
              <w:rPr>
                <w:b w:val="false"/>
                <w:bCs w:val="false"/>
                <w:color w:val="111111"/>
                <w:sz w:val="20"/>
                <w:szCs w:val="20"/>
              </w:rPr>
              <w:t xml:space="preserve">SELECTIVE</w:t>
            </w:r>
          </w:p>
        </w:tc>
        <w:tc>
          <w:tcPr>
            <w:tcW w:type="dxa" w:w="1200"/>
            <w:tcMar>
              <w:top w:type="dxa" w:w="80"/>
              <w:left w:type="dxa" w:w="120"/>
              <w:bottom w:type="dxa" w:w="80"/>
              <w:right w:type="dxa" w:w="120"/>
            </w:tcMar>
          </w:tcPr>
          <w:p>
            <w:r>
              <w:rPr>
                <w:b w:val="false"/>
                <w:bCs w:val="false"/>
                <w:color w:val="111111"/>
                <w:sz w:val="20"/>
                <w:szCs w:val="20"/>
              </w:rPr>
              <w:t xml:space="preserve">Amber</w:t>
            </w:r>
          </w:p>
        </w:tc>
        <w:tc>
          <w:tcPr>
            <w:tcW w:type="dxa" w:w="3760"/>
            <w:tcMar>
              <w:top w:type="dxa" w:w="80"/>
              <w:left w:type="dxa" w:w="120"/>
              <w:bottom w:type="dxa" w:w="80"/>
              <w:right w:type="dxa" w:w="120"/>
            </w:tcMar>
          </w:tcPr>
          <w:p>
            <w:r>
              <w:rPr>
                <w:b w:val="false"/>
                <w:bCs w:val="false"/>
                <w:color w:val="111111"/>
                <w:sz w:val="20"/>
                <w:szCs w:val="20"/>
              </w:rPr>
              <w:t xml:space="preserve">Limited opportunities — size small, be choosy</w:t>
            </w:r>
          </w:p>
        </w:tc>
      </w:tr>
      <w:tr>
        <w:tc>
          <w:tcPr>
            <w:tcW w:type="dxa" w:w="2600"/>
            <w:tcMar>
              <w:top w:type="dxa" w:w="80"/>
              <w:left w:type="dxa" w:w="120"/>
              <w:bottom w:type="dxa" w:w="80"/>
              <w:right w:type="dxa" w:w="120"/>
            </w:tcMar>
          </w:tcPr>
          <w:p>
            <w:r>
              <w:rPr>
                <w:b w:val="false"/>
                <w:bCs w:val="false"/>
                <w:color w:val="111111"/>
                <w:sz w:val="20"/>
                <w:szCs w:val="20"/>
              </w:rPr>
              <w:t xml:space="preserve">5+ qualified, moderate VRP</w:t>
            </w:r>
          </w:p>
        </w:tc>
        <w:tc>
          <w:tcPr>
            <w:tcW w:type="dxa" w:w="1800"/>
            <w:tcMar>
              <w:top w:type="dxa" w:w="80"/>
              <w:left w:type="dxa" w:w="120"/>
              <w:bottom w:type="dxa" w:w="80"/>
              <w:right w:type="dxa" w:w="120"/>
            </w:tcMar>
          </w:tcPr>
          <w:p>
            <w:r>
              <w:rPr>
                <w:b w:val="false"/>
                <w:bCs w:val="false"/>
                <w:color w:val="111111"/>
                <w:sz w:val="20"/>
                <w:szCs w:val="20"/>
              </w:rPr>
              <w:t xml:space="preserve">CAUTIOUS</w:t>
            </w:r>
          </w:p>
        </w:tc>
        <w:tc>
          <w:tcPr>
            <w:tcW w:type="dxa" w:w="1200"/>
            <w:tcMar>
              <w:top w:type="dxa" w:w="80"/>
              <w:left w:type="dxa" w:w="120"/>
              <w:bottom w:type="dxa" w:w="80"/>
              <w:right w:type="dxa" w:w="120"/>
            </w:tcMar>
          </w:tcPr>
          <w:p>
            <w:r>
              <w:rPr>
                <w:b w:val="false"/>
                <w:bCs w:val="false"/>
                <w:color w:val="111111"/>
                <w:sz w:val="20"/>
                <w:szCs w:val="20"/>
              </w:rPr>
              <w:t xml:space="preserve">Amber</w:t>
            </w:r>
          </w:p>
        </w:tc>
        <w:tc>
          <w:tcPr>
            <w:tcW w:type="dxa" w:w="3760"/>
            <w:tcMar>
              <w:top w:type="dxa" w:w="80"/>
              <w:left w:type="dxa" w:w="120"/>
              <w:bottom w:type="dxa" w:w="80"/>
              <w:right w:type="dxa" w:w="120"/>
            </w:tcMar>
          </w:tcPr>
          <w:p>
            <w:r>
              <w:rPr>
                <w:b w:val="false"/>
                <w:bCs w:val="false"/>
                <w:color w:val="111111"/>
                <w:sz w:val="20"/>
                <w:szCs w:val="20"/>
              </w:rPr>
              <w:t xml:space="preserve">Decent environment but not ideal</w:t>
            </w:r>
          </w:p>
        </w:tc>
      </w:tr>
      <w:tr>
        <w:tc>
          <w:tcPr>
            <w:tcW w:type="dxa" w:w="2600"/>
            <w:tcMar>
              <w:top w:type="dxa" w:w="80"/>
              <w:left w:type="dxa" w:w="120"/>
              <w:bottom w:type="dxa" w:w="80"/>
              <w:right w:type="dxa" w:w="120"/>
            </w:tcMar>
          </w:tcPr>
          <w:p>
            <w:r>
              <w:rPr>
                <w:b w:val="false"/>
                <w:bCs w:val="false"/>
                <w:color w:val="111111"/>
                <w:sz w:val="20"/>
                <w:szCs w:val="20"/>
              </w:rPr>
              <w:t xml:space="preserve">Strong VRP, many qualified</w:t>
            </w:r>
          </w:p>
        </w:tc>
        <w:tc>
          <w:tcPr>
            <w:tcW w:type="dxa" w:w="1800"/>
            <w:tcMar>
              <w:top w:type="dxa" w:w="80"/>
              <w:left w:type="dxa" w:w="120"/>
              <w:bottom w:type="dxa" w:w="80"/>
              <w:right w:type="dxa" w:w="120"/>
            </w:tcMar>
          </w:tcPr>
          <w:p>
            <w:r>
              <w:rPr>
                <w:b w:val="false"/>
                <w:bCs w:val="false"/>
                <w:color w:val="111111"/>
                <w:sz w:val="20"/>
                <w:szCs w:val="20"/>
              </w:rPr>
              <w:t xml:space="preserve">FAVORABLE</w:t>
            </w:r>
          </w:p>
        </w:tc>
        <w:tc>
          <w:tcPr>
            <w:tcW w:type="dxa" w:w="1200"/>
            <w:tcMar>
              <w:top w:type="dxa" w:w="80"/>
              <w:left w:type="dxa" w:w="120"/>
              <w:bottom w:type="dxa" w:w="80"/>
              <w:right w:type="dxa" w:w="120"/>
            </w:tcMar>
          </w:tcPr>
          <w:p>
            <w:r>
              <w:rPr>
                <w:b w:val="false"/>
                <w:bCs w:val="false"/>
                <w:color w:val="111111"/>
                <w:sz w:val="20"/>
                <w:szCs w:val="20"/>
              </w:rPr>
              <w:t xml:space="preserve">Green</w:t>
            </w:r>
          </w:p>
        </w:tc>
        <w:tc>
          <w:tcPr>
            <w:tcW w:type="dxa" w:w="3760"/>
            <w:tcMar>
              <w:top w:type="dxa" w:w="80"/>
              <w:left w:type="dxa" w:w="120"/>
              <w:bottom w:type="dxa" w:w="80"/>
              <w:right w:type="dxa" w:w="120"/>
            </w:tcMar>
          </w:tcPr>
          <w:p>
            <w:r>
              <w:rPr>
                <w:b w:val="false"/>
                <w:bCs w:val="false"/>
                <w:color w:val="111111"/>
                <w:sz w:val="20"/>
                <w:szCs w:val="20"/>
              </w:rPr>
              <w:t xml:space="preserve">Full scanning environment</w:t>
            </w:r>
          </w:p>
        </w:tc>
      </w:tr>
    </w:tbl>
    <w:p>
      <w:pPr>
        <w:spacing w:after="80" w:before="60"/>
      </w:pPr>
      <w:r>
        <w:rPr>
          <w:color w:val="111111"/>
          <w:sz w:val="20"/>
          <w:szCs w:val="20"/>
        </w:rPr>
        <w:t xml:space="preserve">The regime banner below the KPI cards keeps the full explanation ('Premium is cheap; VRP edge is thin.'). The Mission Control card just shows the status word.</w:t>
      </w:r>
    </w:p>
    <w:p>
      <w:pPr>
        <w:spacing w:after="60" w:before="40"/>
      </w:pPr>
      <w:r>
        <w:rPr>
          <w:i/>
          <w:iCs/>
          <w:color w:val="B35900"/>
          <w:sz w:val="19"/>
          <w:szCs w:val="19"/>
        </w:rPr>
        <w:t xml:space="preserve">⚠  This change requires updating vega_status.py to emit the new status labels based on qualified_count and VRP thresholds. The regime language in the banner does not change.</w:t>
      </w:r>
    </w:p>
    <w:p>
      <w:pPr>
        <w:spacing w:after="40" w:before="40"/>
      </w:pPr>
    </w:p>
    <w:p>
      <w:pPr>
        <w:pStyle w:val="Heading2"/>
        <w:spacing w:after="80" w:before="260"/>
      </w:pPr>
      <w:r>
        <w:rPr>
          <w:b/>
          <w:bCs/>
          <w:color w:val="111111"/>
          <w:sz w:val="26"/>
          <w:szCs w:val="26"/>
        </w:rPr>
        <w:t xml:space="preserve">A2-2  Opportunity density funnel  [CRITICAL — NEW from GPT]</w:t>
      </w:r>
    </w:p>
    <w:p>
      <w:pPr>
        <w:spacing w:after="80" w:before="60"/>
      </w:pPr>
      <w:r>
        <w:rPr>
          <w:color w:val="111111"/>
          <w:sz w:val="20"/>
          <w:szCs w:val="20"/>
        </w:rPr>
        <w:t xml:space="preserve">Current: VEGA shows 5 opportunities. The user has no idea whether these are the best 5 out of 10 or the least-bad 5 out of 2,000. Context is everything.</w:t>
      </w:r>
    </w:p>
    <w:p>
      <w:pPr>
        <w:spacing w:after="80" w:before="60"/>
      </w:pPr>
      <w:r>
        <w:rPr>
          <w:color w:val="111111"/>
          <w:sz w:val="20"/>
          <w:szCs w:val="20"/>
        </w:rPr>
        <w:t xml:space="preserve">Add a scan summary bar between the KPI cards and the opportunity table:</w:t>
      </w:r>
    </w:p>
    <w:p>
      <w:pPr>
        <w:shd w:fill="F2F2F2" w:val="clear"/>
        <w:spacing w:after="16" w:before="16"/>
        <w:ind w:left="720"/>
      </w:pPr>
      <w:r>
        <w:rPr>
          <w:rFonts w:ascii="Courier New" w:cs="Courier New" w:eastAsia="Courier New" w:hAnsi="Courier New"/>
          <w:sz w:val="18"/>
          <w:szCs w:val="18"/>
        </w:rPr>
        <w:t xml:space="preserve">[ 1,842 structures scanned ]  →  [ 27 qualified ]  →  [ 6 high-edge ]  →  [ 1 exceptional ]</w:t>
      </w:r>
    </w:p>
    <w:p>
      <w:pPr>
        <w:spacing w:after="80" w:before="60"/>
      </w:pPr>
      <w:r>
        <w:rPr>
          <w:color w:val="111111"/>
          <w:sz w:val="20"/>
          <w:szCs w:val="20"/>
        </w:rPr>
        <w:t xml:space="preserve">This one line does enormous work:</w:t>
      </w:r>
    </w:p>
    <w:p>
      <w:pPr>
        <w:spacing w:after="36" w:before="36"/>
        <w:ind w:left="480"/>
      </w:pPr>
      <w:r>
        <w:rPr>
          <w:sz w:val="20"/>
          <w:szCs w:val="20"/>
        </w:rPr>
        <w:t xml:space="preserve">•  Makes 'Stand Aside' coherent: 0 high-edge makes no-trade obvious</w:t>
      </w:r>
    </w:p>
    <w:p>
      <w:pPr>
        <w:spacing w:after="36" w:before="36"/>
        <w:ind w:left="480"/>
      </w:pPr>
      <w:r>
        <w:rPr>
          <w:sz w:val="20"/>
          <w:szCs w:val="20"/>
        </w:rPr>
        <w:t xml:space="preserve">•  Makes a 78 edge score meaningful: it's the top of 1,842 candidates</w:t>
      </w:r>
    </w:p>
    <w:p>
      <w:pPr>
        <w:spacing w:after="36" w:before="36"/>
        <w:ind w:left="480"/>
      </w:pPr>
      <w:r>
        <w:rPr>
          <w:sz w:val="20"/>
          <w:szCs w:val="20"/>
        </w:rPr>
        <w:t xml:space="preserve">•  Gives the SpreadSignal audience proof of work — VEGA scanned thousands, not five</w:t>
      </w:r>
    </w:p>
    <w:p>
      <w:pPr>
        <w:spacing w:after="36" w:before="36"/>
        <w:ind w:left="480"/>
      </w:pPr>
      <w:r>
        <w:rPr>
          <w:sz w:val="20"/>
          <w:szCs w:val="20"/>
        </w:rPr>
        <w:t xml:space="preserve">•  Creates the context for '# 1 of 27 qualified setups' on the recommendation card</w:t>
      </w:r>
    </w:p>
    <w:p>
      <w:pPr>
        <w:spacing w:after="80" w:before="60"/>
      </w:pPr>
      <w:r>
        <w:rPr>
          <w:color w:val="111111"/>
          <w:sz w:val="20"/>
          <w:szCs w:val="20"/>
        </w:rPr>
        <w:t xml:space="preserve">Backend requirement: the scan loop must emit a counts dict — total_scanned, total_qualified, high_edge_count, exceptional_count. Add to vega_status output and surface on the Today view.</w:t>
      </w:r>
    </w:p>
    <w:p>
      <w:pPr>
        <w:spacing w:after="80" w:before="60"/>
      </w:pPr>
      <w:r>
        <w:rPr>
          <w:color w:val="111111"/>
          <w:sz w:val="20"/>
          <w:szCs w:val="20"/>
        </w:rPr>
        <w:t xml:space="preserve">Thresholds for buckets (tunable in config):</w:t>
      </w:r>
    </w:p>
    <w:p>
      <w:pPr>
        <w:shd w:fill="F2F2F2" w:val="clear"/>
        <w:spacing w:after="16" w:before="16"/>
        <w:ind w:left="720"/>
      </w:pPr>
      <w:r>
        <w:rPr>
          <w:rFonts w:ascii="Courier New" w:cs="Courier New" w:eastAsia="Courier New" w:hAnsi="Courier New"/>
          <w:sz w:val="18"/>
          <w:szCs w:val="18"/>
        </w:rPr>
        <w:t xml:space="preserve">high_edge:    edge_score &gt;= 65</w:t>
      </w:r>
    </w:p>
    <w:p>
      <w:pPr>
        <w:shd w:fill="F2F2F2" w:val="clear"/>
        <w:spacing w:after="16" w:before="16"/>
        <w:ind w:left="720"/>
      </w:pPr>
      <w:r>
        <w:rPr>
          <w:rFonts w:ascii="Courier New" w:cs="Courier New" w:eastAsia="Courier New" w:hAnsi="Courier New"/>
          <w:sz w:val="18"/>
          <w:szCs w:val="18"/>
        </w:rPr>
        <w:t xml:space="preserve">exceptional:  edge_score &gt;= 80</w:t>
      </w:r>
    </w:p>
    <w:p>
      <w:pPr>
        <w:spacing w:after="40" w:before="40"/>
      </w:pPr>
    </w:p>
    <w:p>
      <w:pPr>
        <w:pStyle w:val="Heading2"/>
        <w:spacing w:after="80" w:before="260"/>
      </w:pPr>
      <w:r>
        <w:rPr>
          <w:b/>
          <w:bCs/>
          <w:color w:val="111111"/>
          <w:sz w:val="26"/>
          <w:szCs w:val="26"/>
        </w:rPr>
        <w:t xml:space="preserve">A2-3  KPI cards — numbers with legend + VRP value on Premium card</w:t>
      </w:r>
    </w:p>
    <w:p>
      <w:pPr>
        <w:spacing w:after="60" w:before="40"/>
      </w:pPr>
      <w:r>
        <w:rPr>
          <w:b/>
          <w:bCs/>
          <w:color w:val="1A5E20"/>
          <w:sz w:val="20"/>
          <w:szCs w:val="20"/>
        </w:rPr>
        <w:t xml:space="preserve">▲ CONVERGENT — both reviews agree:  </w:t>
      </w:r>
      <w:r>
        <w:rPr>
          <w:sz w:val="20"/>
          <w:szCs w:val="20"/>
        </w:rPr>
        <w:t xml:space="preserve">Both reviews agree: numbers over stars.</w:t>
      </w:r>
    </w:p>
    <w:p>
      <w:pPr>
        <w:spacing w:after="80" w:before="60"/>
      </w:pPr>
      <w:r>
        <w:rPr>
          <w:color w:val="111111"/>
          <w:sz w:val="20"/>
          <w:szCs w:val="20"/>
        </w:rPr>
        <w:t xml:space="preserve">Convert all KPI cards to number + label format. Add a shared legend line below the KPI row, permanently visible:</w:t>
      </w:r>
    </w:p>
    <w:p>
      <w:pPr>
        <w:shd w:fill="F2F2F2" w:val="clear"/>
        <w:spacing w:after="16" w:before="16"/>
        <w:ind w:left="720"/>
      </w:pPr>
      <w:r>
        <w:rPr>
          <w:rFonts w:ascii="Courier New" w:cs="Courier New" w:eastAsia="Courier New" w:hAnsi="Courier New"/>
          <w:sz w:val="18"/>
          <w:szCs w:val="18"/>
        </w:rPr>
        <w:t xml:space="preserve">Score guide:   0–4  Unfavorable   ·   5–6  Neutral   ·   7–10  Favorable</w:t>
      </w:r>
    </w:p>
    <w:p>
      <w:pPr>
        <w:spacing w:after="80" w:before="60"/>
      </w:pPr>
      <w:r>
        <w:rPr>
          <w:color w:val="111111"/>
          <w:sz w:val="20"/>
          <w:szCs w:val="20"/>
        </w:rPr>
        <w:t xml:space="preserve">Color-matched to the same bands (red / amber / green) so the legend decodes the cards above it. Uniform 0–10 scale across all cards — one system, one thing to learn.</w:t>
      </w:r>
    </w:p>
    <w:p>
      <w:pPr>
        <w:spacing w:after="80" w:before="60"/>
      </w:pPr>
      <w:r>
        <w:rPr>
          <w:color w:val="111111"/>
          <w:sz w:val="20"/>
          <w:szCs w:val="20"/>
        </w:rPr>
        <w:t xml:space="preserve">Premium Environment card specifically: show the VRP value directly on the card, not just the label 'Thin':</w:t>
      </w:r>
    </w:p>
    <w:p>
      <w:pPr>
        <w:shd w:fill="F2F2F2" w:val="clear"/>
        <w:spacing w:after="16" w:before="16"/>
        <w:ind w:left="720"/>
      </w:pPr>
      <w:r>
        <w:rPr>
          <w:rFonts w:ascii="Courier New" w:cs="Courier New" w:eastAsia="Courier New" w:hAnsi="Courier New"/>
          <w:sz w:val="18"/>
          <w:szCs w:val="18"/>
        </w:rPr>
        <w:t xml:space="preserve">PREMIUM ENVIRONMENT</w:t>
      </w:r>
    </w:p>
    <w:p>
      <w:pPr>
        <w:shd w:fill="F2F2F2" w:val="clear"/>
        <w:spacing w:after="16" w:before="16"/>
        <w:ind w:left="720"/>
      </w:pPr>
      <w:r>
        <w:rPr>
          <w:rFonts w:ascii="Courier New" w:cs="Courier New" w:eastAsia="Courier New" w:hAnsi="Courier New"/>
          <w:sz w:val="18"/>
          <w:szCs w:val="18"/>
        </w:rPr>
        <w:t xml:space="preserve">6.2</w:t>
      </w:r>
    </w:p>
    <w:p>
      <w:pPr>
        <w:shd w:fill="F2F2F2" w:val="clear"/>
        <w:spacing w:after="16" w:before="16"/>
        <w:ind w:left="720"/>
      </w:pPr>
      <w:r>
        <w:rPr>
          <w:rFonts w:ascii="Courier New" w:cs="Courier New" w:eastAsia="Courier New" w:hAnsi="Courier New"/>
          <w:sz w:val="18"/>
          <w:szCs w:val="18"/>
        </w:rPr>
        <w:t xml:space="preserve">VRP +1.8pp  ·  Thin</w:t>
      </w:r>
    </w:p>
    <w:p>
      <w:pPr>
        <w:spacing w:after="80" w:before="60"/>
      </w:pPr>
      <w:r>
        <w:rPr>
          <w:color w:val="111111"/>
          <w:sz w:val="20"/>
          <w:szCs w:val="20"/>
        </w:rPr>
        <w:t xml:space="preserve">Now 'Thin' has an immediate numeric anchor. The user understands what thin means.</w:t>
      </w:r>
    </w:p>
    <w:p>
      <w:pPr>
        <w:spacing w:after="40" w:before="40"/>
      </w:pPr>
    </w:p>
    <w:p>
      <w:pPr>
        <w:pStyle w:val="Heading2"/>
        <w:spacing w:after="80" w:before="260"/>
      </w:pPr>
      <w:r>
        <w:rPr>
          <w:b/>
          <w:bCs/>
          <w:color w:val="111111"/>
          <w:sz w:val="26"/>
          <w:szCs w:val="26"/>
        </w:rPr>
        <w:t xml:space="preserve">A2-4  'Win Prob' → 'VEGA POP' with Market POP side-by-side  [CRITICAL — NEW from GPT]</w:t>
      </w:r>
    </w:p>
    <w:p>
      <w:pPr>
        <w:spacing w:after="80" w:before="60"/>
      </w:pPr>
      <w:r>
        <w:rPr>
          <w:color w:val="111111"/>
          <w:sz w:val="20"/>
          <w:szCs w:val="20"/>
        </w:rPr>
        <w:t xml:space="preserve">This is one of the most important UI changes in the document. 'Win Prob 84%' is ambiguous — the user doesn't know if that's the market-implied probability or VEGA's model estimate. For a system whose entire value proposition is finding mispriced probability, this is a fundamental communication failure.</w:t>
      </w:r>
    </w:p>
    <w:p>
      <w:pPr>
        <w:spacing w:after="80" w:before="60"/>
      </w:pPr>
      <w:r>
        <w:rPr>
          <w:color w:val="111111"/>
          <w:sz w:val="20"/>
          <w:szCs w:val="20"/>
        </w:rPr>
        <w:t xml:space="preserve">Change:</w:t>
      </w:r>
    </w:p>
    <w:p>
      <w:pPr>
        <w:shd w:fill="F2F2F2" w:val="clear"/>
        <w:spacing w:after="16" w:before="16"/>
        <w:ind w:left="720"/>
      </w:pPr>
      <w:r>
        <w:rPr>
          <w:rFonts w:ascii="Courier New" w:cs="Courier New" w:eastAsia="Courier New" w:hAnsi="Courier New"/>
          <w:sz w:val="18"/>
          <w:szCs w:val="18"/>
        </w:rPr>
        <w:t xml:space="preserve">WIN PROB    →    VEGA POP</w:t>
      </w:r>
    </w:p>
    <w:p>
      <w:pPr>
        <w:shd w:fill="F2F2F2" w:val="clear"/>
        <w:spacing w:after="16" w:before="16"/>
        <w:ind w:left="720"/>
      </w:pPr>
      <w:r>
        <w:rPr>
          <w:rFonts w:ascii="Courier New" w:cs="Courier New" w:eastAsia="Courier New" w:hAnsi="Courier New"/>
          <w:sz w:val="18"/>
          <w:szCs w:val="18"/>
        </w:rPr>
        <w:t xml:space="preserve">84%              84%</w:t>
      </w:r>
    </w:p>
    <w:p>
      <w:pPr>
        <w:spacing w:after="80" w:before="60"/>
      </w:pPr>
      <w:r>
        <w:rPr>
          <w:color w:val="111111"/>
          <w:sz w:val="20"/>
          <w:szCs w:val="20"/>
        </w:rPr>
        <w:t xml:space="preserve">Add a second value adjacent to it:</w:t>
      </w:r>
    </w:p>
    <w:p>
      <w:pPr>
        <w:shd w:fill="F2F2F2" w:val="clear"/>
        <w:spacing w:after="16" w:before="16"/>
        <w:ind w:left="720"/>
      </w:pPr>
      <w:r>
        <w:rPr>
          <w:rFonts w:ascii="Courier New" w:cs="Courier New" w:eastAsia="Courier New" w:hAnsi="Courier New"/>
          <w:sz w:val="18"/>
          <w:szCs w:val="18"/>
        </w:rPr>
        <w:t xml:space="preserve">VEGA POP    MARKET POP    EDGE</w:t>
      </w:r>
    </w:p>
    <w:p>
      <w:pPr>
        <w:shd w:fill="F2F2F2" w:val="clear"/>
        <w:spacing w:after="16" w:before="16"/>
        <w:ind w:left="720"/>
      </w:pPr>
      <w:r>
        <w:rPr>
          <w:rFonts w:ascii="Courier New" w:cs="Courier New" w:eastAsia="Courier New" w:hAnsi="Courier New"/>
          <w:sz w:val="18"/>
          <w:szCs w:val="18"/>
        </w:rPr>
        <w:t xml:space="preserve">84%         72%           +12pp</w:t>
      </w:r>
    </w:p>
    <w:p>
      <w:pPr>
        <w:spacing w:after="80" w:before="60"/>
      </w:pPr>
      <w:r>
        <w:rPr>
          <w:color w:val="111111"/>
          <w:sz w:val="20"/>
          <w:szCs w:val="20"/>
        </w:rPr>
        <w:t xml:space="preserve">The three-number display communicates the entire VEGA thesis in one visual element: VEGA thinks this is more probable than the market does, and the gap is the edge. This is what every premium seller is looking for, expressed in the simplest possible format.</w:t>
      </w:r>
    </w:p>
    <w:p>
      <w:pPr>
        <w:spacing w:after="80" w:before="60"/>
      </w:pPr>
      <w:r>
        <w:rPr>
          <w:color w:val="111111"/>
          <w:sz w:val="20"/>
          <w:szCs w:val="20"/>
        </w:rPr>
        <w:t xml:space="preserve">In the opportunity table, change the column header:</w:t>
      </w:r>
    </w:p>
    <w:p>
      <w:pPr>
        <w:shd w:fill="F2F2F2" w:val="clear"/>
        <w:spacing w:after="16" w:before="16"/>
        <w:ind w:left="720"/>
      </w:pPr>
      <w:r>
        <w:rPr>
          <w:rFonts w:ascii="Courier New" w:cs="Courier New" w:eastAsia="Courier New" w:hAnsi="Courier New"/>
          <w:sz w:val="18"/>
          <w:szCs w:val="18"/>
        </w:rPr>
        <w:t xml:space="preserve">WIN PROB    →    VEGA POP</w:t>
      </w:r>
    </w:p>
    <w:p>
      <w:pPr>
        <w:spacing w:after="80" w:before="60"/>
      </w:pPr>
      <w:r>
        <w:rPr>
          <w:color w:val="111111"/>
          <w:sz w:val="20"/>
          <w:szCs w:val="20"/>
        </w:rPr>
        <w:t xml:space="preserve">In the detailed opportunity panel, add the Market POP row immediately below VEGA POP, with the gap highlighted.</w:t>
      </w:r>
    </w:p>
    <w:p>
      <w:pPr>
        <w:spacing w:after="80" w:before="60"/>
      </w:pPr>
      <w:r>
        <w:rPr>
          <w:color w:val="111111"/>
          <w:sz w:val="20"/>
          <w:szCs w:val="20"/>
        </w:rPr>
        <w:t xml:space="preserve">Backend requirement: market-implied POP (1-delta, pop_implied) and VEGA's true_pop must both be available on the candidate object. pop_gap field (already planned in backend P-items) feeds the EDGE number directly.</w:t>
      </w:r>
    </w:p>
    <w:p>
      <w:pPr>
        <w:spacing w:after="40" w:before="40"/>
      </w:pPr>
    </w:p>
    <w:p>
      <w:pPr>
        <w:pStyle w:val="Heading2"/>
        <w:spacing w:after="80" w:before="260"/>
      </w:pPr>
      <w:r>
        <w:rPr>
          <w:b/>
          <w:bCs/>
          <w:color w:val="111111"/>
          <w:sz w:val="26"/>
          <w:szCs w:val="26"/>
        </w:rPr>
        <w:t xml:space="preserve">A2-5  Edge Score — add decomposition and relative context  [NEW from GPT]</w:t>
      </w:r>
    </w:p>
    <w:p>
      <w:pPr>
        <w:spacing w:after="80" w:before="60"/>
      </w:pPr>
      <w:r>
        <w:rPr>
          <w:color w:val="111111"/>
          <w:sz w:val="20"/>
          <w:szCs w:val="20"/>
        </w:rPr>
        <w:t xml:space="preserve">Current: edge score '78' with no decomposition. The user cannot tell whether 78 is good or what drove it.</w:t>
      </w:r>
    </w:p>
    <w:p>
      <w:pPr>
        <w:spacing w:after="80" w:before="60"/>
      </w:pPr>
      <w:r>
        <w:rPr>
          <w:color w:val="111111"/>
          <w:sz w:val="20"/>
          <w:szCs w:val="20"/>
        </w:rPr>
        <w:t xml:space="preserve">Add two pieces of context to the edge score display:</w:t>
      </w:r>
    </w:p>
    <w:p>
      <w:pPr>
        <w:spacing w:after="36" w:before="36"/>
        <w:ind w:left="480"/>
      </w:pPr>
      <w:r>
        <w:rPr>
          <w:sz w:val="20"/>
          <w:szCs w:val="20"/>
        </w:rPr>
        <w:t xml:space="preserve">•  Decomposition: '+12pp POP  ·  +10.7pp IV/RV  ·  +technical' — the three contributors to the score, collapsed to one line</w:t>
      </w:r>
    </w:p>
    <w:p>
      <w:pPr>
        <w:spacing w:after="36" w:before="36"/>
        <w:ind w:left="480"/>
      </w:pPr>
      <w:r>
        <w:rPr>
          <w:sz w:val="20"/>
          <w:szCs w:val="20"/>
        </w:rPr>
        <w:t xml:space="preserve">•  Relative context: 'Top 1 of 27 qualified setups today' — connects to the opportunity density funnel (A2-2)</w:t>
      </w:r>
    </w:p>
    <w:p>
      <w:pPr>
        <w:spacing w:after="80" w:before="60"/>
      </w:pPr>
      <w:r>
        <w:rPr>
          <w:color w:val="111111"/>
          <w:sz w:val="20"/>
          <w:szCs w:val="20"/>
        </w:rPr>
        <w:t xml:space="preserve">This does not require a new tooltip — surface the decomposition as a subtitle line directly under the score number.</w:t>
      </w:r>
    </w:p>
    <w:p>
      <w:pPr>
        <w:spacing w:after="40" w:before="40"/>
      </w:pPr>
    </w:p>
    <w:p>
      <w:pPr>
        <w:pStyle w:val="Heading2"/>
        <w:spacing w:after="80" w:before="260"/>
      </w:pPr>
      <w:r>
        <w:rPr>
          <w:b/>
          <w:bCs/>
          <w:color w:val="111111"/>
          <w:sz w:val="26"/>
          <w:szCs w:val="26"/>
        </w:rPr>
        <w:t xml:space="preserve">A2-6  Regime banner — increase visual weight</w:t>
      </w:r>
    </w:p>
    <w:p>
      <w:pPr>
        <w:spacing w:after="80" w:before="60"/>
      </w:pPr>
      <w:r>
        <w:rPr>
          <w:color w:val="111111"/>
          <w:sz w:val="20"/>
          <w:szCs w:val="20"/>
        </w:rPr>
        <w:t xml:space="preserve">The regime explanation ('Premium is cheap; VRP edge is thin.') should be a full-width colored band below the KPI row, not inline body text.</w:t>
      </w:r>
    </w:p>
    <w:p>
      <w:pPr>
        <w:spacing w:after="36" w:before="36"/>
        <w:ind w:left="480"/>
      </w:pPr>
      <w:r>
        <w:rPr>
          <w:sz w:val="20"/>
          <w:szCs w:val="20"/>
        </w:rPr>
        <w:t xml:space="preserve">•  Favorable: green left border + light green background</w:t>
      </w:r>
    </w:p>
    <w:p>
      <w:pPr>
        <w:spacing w:after="36" w:before="36"/>
        <w:ind w:left="480"/>
      </w:pPr>
      <w:r>
        <w:rPr>
          <w:sz w:val="20"/>
          <w:szCs w:val="20"/>
        </w:rPr>
        <w:t xml:space="preserve">•  Neutral / Selective: amber left border + light amber background</w:t>
      </w:r>
    </w:p>
    <w:p>
      <w:pPr>
        <w:spacing w:after="36" w:before="36"/>
        <w:ind w:left="480"/>
      </w:pPr>
      <w:r>
        <w:rPr>
          <w:sz w:val="20"/>
          <w:szCs w:val="20"/>
        </w:rPr>
        <w:t xml:space="preserve">•  Stand Aside / Elevated: red left border + light red background</w:t>
      </w:r>
    </w:p>
    <w:p>
      <w:pPr>
        <w:spacing w:after="80" w:before="60"/>
      </w:pPr>
      <w:r>
        <w:rPr>
          <w:color w:val="111111"/>
          <w:sz w:val="20"/>
          <w:szCs w:val="20"/>
        </w:rPr>
        <w:t xml:space="preserve">The banner content does not change — only its visual prominence. It should stop the user's eye before they look at candidates.</w:t>
      </w:r>
    </w:p>
    <w:p>
      <w:pPr>
        <w:spacing w:after="40" w:before="40"/>
      </w:pPr>
    </w:p>
    <w:p>
      <w:pPr>
        <w:pStyle w:val="Heading2"/>
        <w:spacing w:after="80" w:before="260"/>
      </w:pPr>
      <w:r>
        <w:rPr>
          <w:b/>
          <w:bCs/>
          <w:color w:val="111111"/>
          <w:sz w:val="26"/>
          <w:szCs w:val="26"/>
        </w:rPr>
        <w:t xml:space="preserve">A2-7  Market Snapshot — move above opportunity list  [NEW from GPT]</w:t>
      </w:r>
    </w:p>
    <w:p>
      <w:pPr>
        <w:spacing w:after="80" w:before="60"/>
      </w:pPr>
      <w:r>
        <w:rPr>
          <w:color w:val="111111"/>
          <w:sz w:val="20"/>
          <w:szCs w:val="20"/>
        </w:rPr>
        <w:t xml:space="preserve">Current: VIX / IV Rank / SPY Today / RSI appear below the detailed trade panel. These numbers give context for interpreting the opportunity list — they should appear before it.</w:t>
      </w:r>
    </w:p>
    <w:p>
      <w:pPr>
        <w:spacing w:after="80" w:before="60"/>
      </w:pPr>
      <w:r>
        <w:rPr>
          <w:color w:val="111111"/>
          <w:sz w:val="20"/>
          <w:szCs w:val="20"/>
        </w:rPr>
        <w:t xml:space="preserve">Revised page order from top to bottom:</w:t>
      </w:r>
    </w:p>
    <w:p>
      <w:pPr>
        <w:spacing w:after="36" w:before="36"/>
        <w:ind w:left="480"/>
      </w:pPr>
      <w:r>
        <w:rPr>
          <w:sz w:val="20"/>
          <w:szCs w:val="20"/>
        </w:rPr>
        <w:t xml:space="preserve">•  Mission Control KPI cards</w:t>
      </w:r>
    </w:p>
    <w:p>
      <w:pPr>
        <w:spacing w:after="36" w:before="36"/>
        <w:ind w:left="480"/>
      </w:pPr>
      <w:r>
        <w:rPr>
          <w:sz w:val="20"/>
          <w:szCs w:val="20"/>
        </w:rPr>
        <w:t xml:space="preserve">•  Regime banner (A2-6)</w:t>
      </w:r>
    </w:p>
    <w:p>
      <w:pPr>
        <w:spacing w:after="36" w:before="36"/>
        <w:ind w:left="480"/>
      </w:pPr>
      <w:r>
        <w:rPr>
          <w:sz w:val="20"/>
          <w:szCs w:val="20"/>
        </w:rPr>
        <w:t xml:space="preserve">•  Opportunity density funnel (A2-2)</w:t>
      </w:r>
    </w:p>
    <w:p>
      <w:pPr>
        <w:spacing w:after="36" w:before="36"/>
        <w:ind w:left="480"/>
      </w:pPr>
      <w:r>
        <w:rPr>
          <w:sz w:val="20"/>
          <w:szCs w:val="20"/>
        </w:rPr>
        <w:t xml:space="preserve">•  Market Snapshot (moved up from bottom)</w:t>
      </w:r>
    </w:p>
    <w:p>
      <w:pPr>
        <w:spacing w:after="36" w:before="36"/>
        <w:ind w:left="480"/>
      </w:pPr>
      <w:r>
        <w:rPr>
          <w:sz w:val="20"/>
          <w:szCs w:val="20"/>
        </w:rPr>
        <w:t xml:space="preserve">•  Today's Playbook left column — REMOVE (duplicates the table)</w:t>
      </w:r>
    </w:p>
    <w:p>
      <w:pPr>
        <w:spacing w:after="36" w:before="36"/>
        <w:ind w:left="480"/>
      </w:pPr>
      <w:r>
        <w:rPr>
          <w:sz w:val="20"/>
          <w:szCs w:val="20"/>
        </w:rPr>
        <w:t xml:space="preserve">•  Top Opportunities table</w:t>
      </w:r>
    </w:p>
    <w:p>
      <w:pPr>
        <w:spacing w:after="36" w:before="36"/>
        <w:ind w:left="480"/>
      </w:pPr>
      <w:r>
        <w:rPr>
          <w:sz w:val="20"/>
          <w:szCs w:val="20"/>
        </w:rPr>
        <w:t xml:space="preserve">•  Selected opportunity detail panel</w:t>
      </w:r>
    </w:p>
    <w:p>
      <w:pPr>
        <w:spacing w:after="36" w:before="36"/>
        <w:ind w:left="480"/>
      </w:pPr>
      <w:r>
        <w:rPr>
          <w:sz w:val="20"/>
          <w:szCs w:val="20"/>
        </w:rPr>
        <w:t xml:space="preserve">•  VEGA Thesis section (A2-8)</w:t>
      </w:r>
    </w:p>
    <w:p>
      <w:pPr>
        <w:spacing w:after="36" w:before="36"/>
        <w:ind w:left="480"/>
      </w:pPr>
      <w:r>
        <w:rPr>
          <w:sz w:val="20"/>
          <w:szCs w:val="20"/>
        </w:rPr>
        <w:t xml:space="preserve">•  Recommended Setup bar (A2-10)</w:t>
      </w:r>
    </w:p>
    <w:p>
      <w:pPr>
        <w:spacing w:after="40" w:before="40"/>
      </w:pPr>
    </w:p>
    <w:p>
      <w:pPr>
        <w:pStyle w:val="Heading2"/>
        <w:spacing w:after="80" w:before="260"/>
      </w:pPr>
      <w:r>
        <w:rPr>
          <w:b/>
          <w:bCs/>
          <w:color w:val="111111"/>
          <w:sz w:val="26"/>
          <w:szCs w:val="26"/>
        </w:rPr>
        <w:t xml:space="preserve">A2-8  Reorganize 'Why VEGA Likes This Trade' into three sections  [NEW from GPT]</w:t>
      </w:r>
    </w:p>
    <w:p>
      <w:pPr>
        <w:spacing w:after="80" w:before="60"/>
      </w:pPr>
      <w:r>
        <w:rPr>
          <w:color w:val="111111"/>
          <w:sz w:val="20"/>
          <w:szCs w:val="20"/>
        </w:rPr>
        <w:t xml:space="preserve">Current: one continuous stream of signals — IV rank, VRP, POP, resistance, timing, news, concentration — all at the same visual level.</w:t>
      </w:r>
    </w:p>
    <w:p>
      <w:pPr>
        <w:spacing w:after="80" w:before="60"/>
      </w:pPr>
      <w:r>
        <w:rPr>
          <w:color w:val="111111"/>
          <w:sz w:val="20"/>
          <w:szCs w:val="20"/>
        </w:rPr>
        <w:t xml:space="preserve">Reorganize into three clearly labeled buckets:</w:t>
      </w:r>
    </w:p>
    <w:p>
      <w:pPr>
        <w:shd w:fill="F2F2F2" w:val="clear"/>
        <w:spacing w:after="16" w:before="16"/>
        <w:ind w:left="720"/>
      </w:pPr>
      <w:r>
        <w:rPr>
          <w:rFonts w:ascii="Courier New" w:cs="Courier New" w:eastAsia="Courier New" w:hAnsi="Courier New"/>
          <w:sz w:val="18"/>
          <w:szCs w:val="18"/>
        </w:rPr>
        <w:t xml:space="preserve">VEGA THESIS</w:t>
      </w:r>
    </w:p>
    <w:p>
      <w:pPr>
        <w:shd w:fill="F2F2F2" w:val="clear"/>
        <w:spacing w:after="16" w:before="16"/>
        <w:ind w:left="720"/>
      </w:pPr>
      <w:r>
        <w:rPr>
          <w:rFonts w:ascii="Courier New" w:cs="Courier New" w:eastAsia="Courier New" w:hAnsi="Courier New"/>
          <w:sz w:val="18"/>
          <w:szCs w:val="18"/>
        </w:rPr>
        <w:t xml:space="preserve"/>
      </w:r>
    </w:p>
    <w:p>
      <w:pPr>
        <w:shd w:fill="F2F2F2" w:val="clear"/>
        <w:spacing w:after="16" w:before="16"/>
        <w:ind w:left="720"/>
      </w:pPr>
      <w:r>
        <w:rPr>
          <w:rFonts w:ascii="Courier New" w:cs="Courier New" w:eastAsia="Courier New" w:hAnsi="Courier New"/>
          <w:sz w:val="18"/>
          <w:szCs w:val="18"/>
        </w:rPr>
        <w:t xml:space="preserve">WHY IT WORKS</w:t>
      </w:r>
    </w:p>
    <w:p>
      <w:pPr>
        <w:shd w:fill="F2F2F2" w:val="clear"/>
        <w:spacing w:after="16" w:before="16"/>
        <w:ind w:left="720"/>
      </w:pPr>
      <w:r>
        <w:rPr>
          <w:rFonts w:ascii="Courier New" w:cs="Courier New" w:eastAsia="Courier New" w:hAnsi="Courier New"/>
          <w:sz w:val="18"/>
          <w:szCs w:val="18"/>
        </w:rPr>
        <w:t xml:space="preserve">✓  IV rank 76 — options priced rich vs past year</w:t>
      </w:r>
    </w:p>
    <w:p>
      <w:pPr>
        <w:shd w:fill="F2F2F2" w:val="clear"/>
        <w:spacing w:after="16" w:before="16"/>
        <w:ind w:left="720"/>
      </w:pPr>
      <w:r>
        <w:rPr>
          <w:rFonts w:ascii="Courier New" w:cs="Courier New" w:eastAsia="Courier New" w:hAnsi="Courier New"/>
          <w:sz w:val="18"/>
          <w:szCs w:val="18"/>
        </w:rPr>
        <w:t xml:space="preserve">✓  Premium exceeds realized vol by +10.7pp</w:t>
      </w:r>
    </w:p>
    <w:p>
      <w:pPr>
        <w:shd w:fill="F2F2F2" w:val="clear"/>
        <w:spacing w:after="16" w:before="16"/>
        <w:ind w:left="720"/>
      </w:pPr>
      <w:r>
        <w:rPr>
          <w:rFonts w:ascii="Courier New" w:cs="Courier New" w:eastAsia="Courier New" w:hAnsi="Courier New"/>
          <w:sz w:val="18"/>
          <w:szCs w:val="18"/>
        </w:rPr>
        <w:t xml:space="preserve">✓  VEGA POP +12pp vs market-implied</w:t>
      </w:r>
    </w:p>
    <w:p>
      <w:pPr>
        <w:shd w:fill="F2F2F2" w:val="clear"/>
        <w:spacing w:after="16" w:before="16"/>
        <w:ind w:left="720"/>
      </w:pPr>
      <w:r>
        <w:rPr>
          <w:rFonts w:ascii="Courier New" w:cs="Courier New" w:eastAsia="Courier New" w:hAnsi="Courier New"/>
          <w:sz w:val="18"/>
          <w:szCs w:val="18"/>
        </w:rPr>
        <w:t xml:space="preserve">✓  Short strike above key resistance at $117.21</w:t>
      </w:r>
    </w:p>
    <w:p>
      <w:pPr>
        <w:shd w:fill="F2F2F2" w:val="clear"/>
        <w:spacing w:after="16" w:before="16"/>
        <w:ind w:left="720"/>
      </w:pPr>
      <w:r>
        <w:rPr>
          <w:rFonts w:ascii="Courier New" w:cs="Courier New" w:eastAsia="Courier New" w:hAnsi="Courier New"/>
          <w:sz w:val="18"/>
          <w:szCs w:val="18"/>
        </w:rPr>
        <w:t xml:space="preserve"/>
      </w:r>
    </w:p>
    <w:p>
      <w:pPr>
        <w:shd w:fill="F2F2F2" w:val="clear"/>
        <w:spacing w:after="16" w:before="16"/>
        <w:ind w:left="720"/>
      </w:pPr>
      <w:r>
        <w:rPr>
          <w:rFonts w:ascii="Courier New" w:cs="Courier New" w:eastAsia="Courier New" w:hAnsi="Courier New"/>
          <w:sz w:val="18"/>
          <w:szCs w:val="18"/>
        </w:rPr>
        <w:t xml:space="preserve">WHAT CAN BREAK IT</w:t>
      </w:r>
    </w:p>
    <w:p>
      <w:pPr>
        <w:shd w:fill="F2F2F2" w:val="clear"/>
        <w:spacing w:after="16" w:before="16"/>
        <w:ind w:left="720"/>
      </w:pPr>
      <w:r>
        <w:rPr>
          <w:rFonts w:ascii="Courier New" w:cs="Courier New" w:eastAsia="Courier New" w:hAnsi="Courier New"/>
          <w:sz w:val="18"/>
          <w:szCs w:val="18"/>
        </w:rPr>
        <w:t xml:space="preserve">⚠  Resistance failure at $117.21</w:t>
      </w:r>
    </w:p>
    <w:p>
      <w:pPr>
        <w:shd w:fill="F2F2F2" w:val="clear"/>
        <w:spacing w:after="16" w:before="16"/>
        <w:ind w:left="720"/>
      </w:pPr>
      <w:r>
        <w:rPr>
          <w:rFonts w:ascii="Courier New" w:cs="Courier New" w:eastAsia="Courier New" w:hAnsi="Courier New"/>
          <w:sz w:val="18"/>
          <w:szCs w:val="18"/>
        </w:rPr>
        <w:t xml:space="preserve">⚠  Volatility expansion (IV spike)</w:t>
      </w:r>
    </w:p>
    <w:p>
      <w:pPr>
        <w:shd w:fill="F2F2F2" w:val="clear"/>
        <w:spacing w:after="16" w:before="16"/>
        <w:ind w:left="720"/>
      </w:pPr>
      <w:r>
        <w:rPr>
          <w:rFonts w:ascii="Courier New" w:cs="Courier New" w:eastAsia="Courier New" w:hAnsi="Courier New"/>
          <w:sz w:val="18"/>
          <w:szCs w:val="18"/>
        </w:rPr>
        <w:t xml:space="preserve">⚠  Entry timing — IV slightly elevated vs 30D average</w:t>
      </w:r>
    </w:p>
    <w:p>
      <w:pPr>
        <w:shd w:fill="F2F2F2" w:val="clear"/>
        <w:spacing w:after="16" w:before="16"/>
        <w:ind w:left="720"/>
      </w:pPr>
      <w:r>
        <w:rPr>
          <w:rFonts w:ascii="Courier New" w:cs="Courier New" w:eastAsia="Courier New" w:hAnsi="Courier New"/>
          <w:sz w:val="18"/>
          <w:szCs w:val="18"/>
        </w:rPr>
        <w:t xml:space="preserve"/>
      </w:r>
    </w:p>
    <w:p>
      <w:pPr>
        <w:shd w:fill="F2F2F2" w:val="clear"/>
        <w:spacing w:after="16" w:before="16"/>
        <w:ind w:left="720"/>
      </w:pPr>
      <w:r>
        <w:rPr>
          <w:rFonts w:ascii="Courier New" w:cs="Courier New" w:eastAsia="Courier New" w:hAnsi="Courier New"/>
          <w:sz w:val="18"/>
          <w:szCs w:val="18"/>
        </w:rPr>
        <w:t xml:space="preserve">WHAT VEGA DOESN'T LIKE</w:t>
      </w:r>
    </w:p>
    <w:p>
      <w:pPr>
        <w:shd w:fill="F2F2F2" w:val="clear"/>
        <w:spacing w:after="16" w:before="16"/>
        <w:ind w:left="720"/>
      </w:pPr>
      <w:r>
        <w:rPr>
          <w:rFonts w:ascii="Courier New" w:cs="Courier New" w:eastAsia="Courier New" w:hAnsi="Courier New"/>
          <w:sz w:val="18"/>
          <w:szCs w:val="18"/>
        </w:rPr>
        <w:t xml:space="preserve">⚠  Existing WMT position — concentration risk</w:t>
      </w:r>
    </w:p>
    <w:p>
      <w:pPr>
        <w:spacing w:after="80" w:before="60"/>
      </w:pPr>
      <w:r>
        <w:rPr>
          <w:color w:val="111111"/>
          <w:sz w:val="20"/>
          <w:szCs w:val="20"/>
        </w:rPr>
        <w:t xml:space="preserve">This makes the reasoning dramatically more scannable. A user can check 'Why it works' in 10 seconds and then consciously decide to engage with risks.</w:t>
      </w:r>
    </w:p>
    <w:p>
      <w:pPr>
        <w:spacing w:after="80" w:before="60"/>
      </w:pPr>
      <w:r>
        <w:rPr>
          <w:color w:val="111111"/>
          <w:sz w:val="20"/>
          <w:szCs w:val="20"/>
        </w:rPr>
        <w:t xml:space="preserve">Model Confidence badge: move from the bottom of this section to immediately below the 'WHY IT WORKS' heading.</w:t>
      </w:r>
    </w:p>
    <w:p>
      <w:pPr>
        <w:spacing w:after="40" w:before="40"/>
      </w:pPr>
    </w:p>
    <w:p>
      <w:pPr>
        <w:pStyle w:val="Heading2"/>
        <w:spacing w:after="80" w:before="260"/>
      </w:pPr>
      <w:r>
        <w:rPr>
          <w:b/>
          <w:bCs/>
          <w:color w:val="111111"/>
          <w:sz w:val="26"/>
          <w:szCs w:val="26"/>
        </w:rPr>
        <w:t xml:space="preserve">A2-9  'Other Top Ideas' — add Why It Ranks Lower  [NEW from GPT]</w:t>
      </w:r>
    </w:p>
    <w:p>
      <w:pPr>
        <w:spacing w:after="80" w:before="60"/>
      </w:pPr>
      <w:r>
        <w:rPr>
          <w:color w:val="111111"/>
          <w:sz w:val="20"/>
          <w:szCs w:val="20"/>
        </w:rPr>
        <w:t xml:space="preserve">Current: QCOM / PEP / META / GS listed with no context for why they rank below WMT.</w:t>
      </w:r>
    </w:p>
    <w:p>
      <w:pPr>
        <w:spacing w:after="80" w:before="60"/>
      </w:pPr>
      <w:r>
        <w:rPr>
          <w:color w:val="111111"/>
          <w:sz w:val="20"/>
          <w:szCs w:val="20"/>
        </w:rPr>
        <w:t xml:space="preserve">Add one-line reason under each secondary ticker:</w:t>
      </w:r>
    </w:p>
    <w:p>
      <w:pPr>
        <w:shd w:fill="F2F2F2" w:val="clear"/>
        <w:spacing w:after="16" w:before="16"/>
        <w:ind w:left="720"/>
      </w:pPr>
      <w:r>
        <w:rPr>
          <w:rFonts w:ascii="Courier New" w:cs="Courier New" w:eastAsia="Courier New" w:hAnsi="Courier New"/>
          <w:sz w:val="18"/>
          <w:szCs w:val="18"/>
        </w:rPr>
        <w:t xml:space="preserve">QCOM — Edge 59  ·  'Strong POP, but weaker IV premium'</w:t>
      </w:r>
    </w:p>
    <w:p>
      <w:pPr>
        <w:shd w:fill="F2F2F2" w:val="clear"/>
        <w:spacing w:after="16" w:before="16"/>
        <w:ind w:left="720"/>
      </w:pPr>
      <w:r>
        <w:rPr>
          <w:rFonts w:ascii="Courier New" w:cs="Courier New" w:eastAsia="Courier New" w:hAnsi="Courier New"/>
          <w:sz w:val="18"/>
          <w:szCs w:val="18"/>
        </w:rPr>
        <w:t xml:space="preserve">PEP  — Edge 54  ·  'IV near average — less premium edge than WMT'</w:t>
      </w:r>
    </w:p>
    <w:p>
      <w:pPr>
        <w:spacing w:after="80" w:before="60"/>
      </w:pPr>
      <w:r>
        <w:rPr>
          <w:color w:val="111111"/>
          <w:sz w:val="20"/>
          <w:szCs w:val="20"/>
        </w:rPr>
        <w:t xml:space="preserve">This turns the list into an educational ranking. The user understands VEGA's comparative judgment, not just its top pick. For Layer 2, this is how users learn to read VEGA — they see the score AND the reason it ranks below.</w:t>
      </w:r>
    </w:p>
    <w:p>
      <w:pPr>
        <w:spacing w:after="40" w:before="40"/>
      </w:pPr>
    </w:p>
    <w:p>
      <w:pPr>
        <w:pStyle w:val="Heading2"/>
        <w:spacing w:after="80" w:before="260"/>
      </w:pPr>
      <w:r>
        <w:rPr>
          <w:b/>
          <w:bCs/>
          <w:color w:val="111111"/>
          <w:sz w:val="26"/>
          <w:szCs w:val="26"/>
        </w:rPr>
        <w:t xml:space="preserve">A2-10  Max Risk filter — preset ranges  [NEW from GPT]</w:t>
      </w:r>
    </w:p>
    <w:p>
      <w:pPr>
        <w:spacing w:after="80" w:before="60"/>
      </w:pPr>
      <w:r>
        <w:rPr>
          <w:color w:val="111111"/>
          <w:sz w:val="20"/>
          <w:szCs w:val="20"/>
        </w:rPr>
        <w:t xml:space="preserve">Current: Max Loss filter allows typed input. GPT-4o flags this as underutilized — it is actually one of the most important features in the product because it lets any user size to their risk tolerance.</w:t>
      </w:r>
    </w:p>
    <w:p>
      <w:pPr>
        <w:spacing w:after="80" w:before="60"/>
      </w:pPr>
      <w:r>
        <w:rPr>
          <w:color w:val="111111"/>
          <w:sz w:val="20"/>
          <w:szCs w:val="20"/>
        </w:rPr>
        <w:t xml:space="preserve">Replace the text input with a prominent preset-range selector:</w:t>
      </w:r>
    </w:p>
    <w:p>
      <w:pPr>
        <w:shd w:fill="F2F2F2" w:val="clear"/>
        <w:spacing w:after="16" w:before="16"/>
        <w:ind w:left="720"/>
      </w:pPr>
      <w:r>
        <w:rPr>
          <w:rFonts w:ascii="Courier New" w:cs="Courier New" w:eastAsia="Courier New" w:hAnsi="Courier New"/>
          <w:sz w:val="18"/>
          <w:szCs w:val="18"/>
        </w:rPr>
        <w:t xml:space="preserve">MAX RISK:  [ &lt; $100 ]  [ &lt; $500 ]  [ $500–$1K ]  [ $1K–$5K ]  [ Any ]</w:t>
      </w:r>
    </w:p>
    <w:p>
      <w:pPr>
        <w:spacing w:after="80" w:before="60"/>
      </w:pPr>
      <w:r>
        <w:rPr>
          <w:color w:val="111111"/>
          <w:sz w:val="20"/>
          <w:szCs w:val="20"/>
        </w:rPr>
        <w:t xml:space="preserve">These presets let a retail user with a small account immediately find trades they can take. The 'Any' option is important — it signals that VEGA finds the opportunity, the user decides the risk. This framing reinforces VEGA's decision-support positioning.</w:t>
      </w:r>
    </w:p>
    <w:p>
      <w:pPr>
        <w:spacing w:after="40" w:before="40"/>
      </w:pPr>
    </w:p>
    <w:p>
      <w:pPr>
        <w:pStyle w:val="Heading2"/>
        <w:spacing w:after="80" w:before="260"/>
      </w:pPr>
      <w:r>
        <w:rPr>
          <w:b/>
          <w:bCs/>
          <w:color w:val="111111"/>
          <w:sz w:val="26"/>
          <w:szCs w:val="26"/>
        </w:rPr>
        <w:t xml:space="preserve">A2-11  Three-button action set: PAPER TRADE · WATCH · REJECT  [NEW from GPT]</w:t>
      </w:r>
    </w:p>
    <w:p>
      <w:pPr>
        <w:spacing w:after="80" w:before="60"/>
      </w:pPr>
      <w:r>
        <w:rPr>
          <w:color w:val="111111"/>
          <w:sz w:val="20"/>
          <w:szCs w:val="20"/>
        </w:rPr>
        <w:t xml:space="preserve">Current: single 'Log paper trade' button.</w:t>
      </w:r>
    </w:p>
    <w:p>
      <w:pPr>
        <w:spacing w:after="80" w:before="60"/>
      </w:pPr>
      <w:r>
        <w:rPr>
          <w:color w:val="111111"/>
          <w:sz w:val="20"/>
          <w:szCs w:val="20"/>
        </w:rPr>
        <w:t xml:space="preserve">Replace with three buttons:</w:t>
      </w:r>
    </w:p>
    <w:p>
      <w:pPr>
        <w:shd w:fill="F2F2F2" w:val="clear"/>
        <w:spacing w:after="16" w:before="16"/>
        <w:ind w:left="720"/>
      </w:pPr>
      <w:r>
        <w:rPr>
          <w:rFonts w:ascii="Courier New" w:cs="Courier New" w:eastAsia="Courier New" w:hAnsi="Courier New"/>
          <w:sz w:val="18"/>
          <w:szCs w:val="18"/>
        </w:rPr>
        <w:t xml:space="preserve">[ LOG PAPER TRADE ]     [ WATCH ]     [ REJECT ]</w:t>
      </w:r>
    </w:p>
    <w:p>
      <w:pPr>
        <w:spacing w:after="36" w:before="36"/>
        <w:ind w:left="480"/>
      </w:pPr>
      <w:r>
        <w:rPr>
          <w:sz w:val="20"/>
          <w:szCs w:val="20"/>
        </w:rPr>
        <w:t xml:space="preserve">•  PAPER TRADE: existing functionality — enters the trade in the paper ledger</w:t>
      </w:r>
    </w:p>
    <w:p>
      <w:pPr>
        <w:spacing w:after="36" w:before="36"/>
        <w:ind w:left="480"/>
      </w:pPr>
      <w:r>
        <w:rPr>
          <w:sz w:val="20"/>
          <w:szCs w:val="20"/>
        </w:rPr>
        <w:t xml:space="preserve">•  WATCH: adds the ticker/setup to a monitoring list without committing — valuable for tracking missed opportunities</w:t>
      </w:r>
    </w:p>
    <w:p>
      <w:pPr>
        <w:spacing w:after="36" w:before="36"/>
        <w:ind w:left="480"/>
      </w:pPr>
      <w:r>
        <w:rPr>
          <w:sz w:val="20"/>
          <w:szCs w:val="20"/>
        </w:rPr>
        <w:t xml:space="preserve">•  REJECT: records that VEGA recommended this and the operator consciously declined — this is negative signal data that will eventually help calibrate when VEGA's thesis is wrong</w:t>
      </w:r>
    </w:p>
    <w:p>
      <w:pPr>
        <w:spacing w:after="60" w:before="40"/>
      </w:pPr>
      <w:r>
        <w:rPr>
          <w:i/>
          <w:iCs/>
          <w:color w:val="B35900"/>
          <w:sz w:val="19"/>
          <w:szCs w:val="19"/>
        </w:rPr>
        <w:t xml:space="preserve">⚠  The REJECT action is not just UX — it is a data collection feature. 'I didn't take it' combined with outcome tracking teaches the system when its recommendations are ignored and whether that was right.</w:t>
      </w:r>
    </w:p>
    <w:p>
      <w:pPr>
        <w:spacing w:after="40" w:before="40"/>
      </w:pPr>
    </w:p>
    <w:p>
      <w:pPr>
        <w:pStyle w:val="Heading2"/>
        <w:spacing w:after="80" w:before="260"/>
      </w:pPr>
      <w:r>
        <w:rPr>
          <w:b/>
          <w:bCs/>
          <w:color w:val="111111"/>
          <w:sz w:val="26"/>
          <w:szCs w:val="26"/>
        </w:rPr>
        <w:t xml:space="preserve">A2-12  'Recommended Action' → 'Recommended Setup'  [DECISION 3 RESULT]</w:t>
      </w:r>
    </w:p>
    <w:p>
      <w:pPr>
        <w:spacing w:after="80" w:before="60"/>
      </w:pPr>
      <w:r>
        <w:rPr>
          <w:color w:val="111111"/>
          <w:sz w:val="20"/>
          <w:szCs w:val="20"/>
        </w:rPr>
        <w:t xml:space="preserve">Per Decision 3 recommendation: change the section label to 'Recommended Setup'. Keeps VEGA in the decision-support role. Update the button label to match — 'Log as paper trade' or 'Set up paper trade'.</w:t>
      </w:r>
    </w:p>
    <w:p>
      <w:pPr>
        <w:spacing w:after="40" w:before="40"/>
      </w:pPr>
    </w:p>
    <w:p>
      <w:pPr>
        <w:pStyle w:val="Heading2"/>
        <w:spacing w:after="80" w:before="260"/>
      </w:pPr>
      <w:r>
        <w:rPr>
          <w:b/>
          <w:bCs/>
          <w:color w:val="111111"/>
          <w:sz w:val="26"/>
          <w:szCs w:val="26"/>
        </w:rPr>
        <w:t xml:space="preserve">A2-13  IN POSITION badge — exposure summary bar</w:t>
      </w:r>
    </w:p>
    <w:p>
      <w:pPr>
        <w:spacing w:after="80" w:before="60"/>
      </w:pPr>
      <w:r>
        <w:rPr>
          <w:color w:val="111111"/>
          <w:sz w:val="20"/>
          <w:szCs w:val="20"/>
        </w:rPr>
        <w:t xml:space="preserve">When 2+ positions are open, add a one-line exposure bar above the opportunity table:</w:t>
      </w:r>
    </w:p>
    <w:p>
      <w:pPr>
        <w:shd w:fill="F2F2F2" w:val="clear"/>
        <w:spacing w:after="16" w:before="16"/>
        <w:ind w:left="720"/>
      </w:pPr>
      <w:r>
        <w:rPr>
          <w:rFonts w:ascii="Courier New" w:cs="Courier New" w:eastAsia="Courier New" w:hAnsi="Courier New"/>
          <w:sz w:val="18"/>
          <w:szCs w:val="18"/>
        </w:rPr>
        <w:t xml:space="preserve">2 open positions  ·  Max remaining loss: $132  ·  WMT, TSLA</w:t>
      </w:r>
    </w:p>
    <w:p>
      <w:pPr>
        <w:spacing w:after="80" w:before="60"/>
      </w:pPr>
      <w:r>
        <w:rPr>
          <w:color w:val="111111"/>
          <w:sz w:val="20"/>
          <w:szCs w:val="20"/>
        </w:rPr>
        <w:t xml:space="preserve">Clicking this bar navigates to the Open tab. Hide when no positions are open.</w:t>
      </w:r>
    </w:p>
    <w:p>
      <w:pPr>
        <w:spacing w:after="40" w:before="40"/>
      </w:pPr>
    </w:p>
    <w:p>
      <w:pPr>
        <w:pStyle w:val="Heading2"/>
        <w:spacing w:after="80" w:before="260"/>
      </w:pPr>
      <w:r>
        <w:rPr>
          <w:b/>
          <w:bCs/>
          <w:color w:val="111111"/>
          <w:sz w:val="26"/>
          <w:szCs w:val="26"/>
        </w:rPr>
        <w:t xml:space="preserve">A2-14  Elements to KEEP verbatim</w:t>
      </w:r>
    </w:p>
    <w:p>
      <w:pPr>
        <w:spacing w:after="36" w:before="36"/>
      </w:pPr>
      <w:r>
        <w:rPr>
          <w:i/>
          <w:iCs/>
          <w:color w:val="1A5E20"/>
          <w:sz w:val="19"/>
          <w:szCs w:val="19"/>
        </w:rPr>
        <w:t xml:space="preserve">✓  VEGA RECOMMENDATION / WHY VEGA LIKES / OTHER TOP IDEAS structure on the opportunity card — best differentiated element</w:t>
      </w:r>
    </w:p>
    <w:p>
      <w:pPr>
        <w:spacing w:after="36" w:before="36"/>
      </w:pPr>
      <w:r>
        <w:rPr>
          <w:i/>
          <w:iCs/>
          <w:color w:val="1A5E20"/>
          <w:sz w:val="19"/>
          <w:szCs w:val="19"/>
        </w:rPr>
        <w:t xml:space="preserve">✓  Single-sentence specificity of the trade construction (strike, expiry, credit) in the Recommended Setup bar</w:t>
      </w:r>
    </w:p>
    <w:p>
      <w:pPr>
        <w:spacing w:after="36" w:before="36"/>
      </w:pPr>
      <w:r>
        <w:rPr>
          <w:i/>
          <w:iCs/>
          <w:color w:val="1A5E20"/>
          <w:sz w:val="19"/>
          <w:szCs w:val="19"/>
        </w:rPr>
        <w:t xml:space="preserve">✓  Caution-flag mechanism (WMT concentration warning) — reuse for pattern contradiction check (Part B P1)</w:t>
      </w:r>
    </w:p>
    <w:p>
      <w:pPr>
        <w:spacing w:after="36" w:before="36"/>
      </w:pPr>
      <w:r>
        <w:rPr>
          <w:i/>
          <w:iCs/>
          <w:color w:val="1A5E20"/>
          <w:sz w:val="19"/>
          <w:szCs w:val="19"/>
        </w:rPr>
        <w:t xml:space="preserve">✓  'Markets closed' / 'After hours' stale data banner</w:t>
      </w:r>
    </w:p>
    <w:p>
      <w:pPr>
        <w:spacing w:after="36" w:before="36"/>
      </w:pPr>
      <w:r>
        <w:rPr>
          <w:i/>
          <w:iCs/>
          <w:color w:val="1A5E20"/>
          <w:sz w:val="19"/>
          <w:szCs w:val="19"/>
        </w:rPr>
        <w:t xml:space="preserve">✓  The 'Log paper trade' loop — VEGA claims → user records → VEGA proves it</w:t>
      </w:r>
    </w:p>
    <w:p>
      <w:pPr>
        <w:spacing w:after="40" w:before="40"/>
      </w:pPr>
    </w:p>
    <w:p>
      <w:pPr>
        <w:pBdr>
          <w:bottom w:val="single" w:color="1F3A7A" w:sz="8"/>
        </w:pBdr>
        <w:spacing w:after="200" w:before="200"/>
      </w:pPr>
    </w:p>
    <w:p>
      <w:pPr>
        <w:pStyle w:val="Heading1"/>
        <w:spacing w:after="120" w:before="400"/>
      </w:pPr>
      <w:r>
        <w:rPr>
          <w:b/>
          <w:bCs/>
          <w:color w:val="1F3A7A"/>
          <w:sz w:val="34"/>
          <w:szCs w:val="34"/>
        </w:rPr>
        <w:t xml:space="preserve">A3 — Bitcoin / Crypto / Research Tab  (renamed per Decision 2)</w:t>
      </w:r>
    </w:p>
    <w:p>
      <w:pPr>
        <w:spacing w:after="40" w:before="40"/>
      </w:pPr>
    </w:p>
    <w:p>
      <w:pPr>
        <w:pStyle w:val="Heading2"/>
        <w:spacing w:after="80" w:before="260"/>
      </w:pPr>
      <w:r>
        <w:rPr>
          <w:b/>
          <w:bCs/>
          <w:color w:val="111111"/>
          <w:sz w:val="26"/>
          <w:szCs w:val="26"/>
        </w:rPr>
        <w:t xml:space="preserve">A3-1  Four-card block structure — KEEP, generalize sourcing</w:t>
      </w:r>
    </w:p>
    <w:p>
      <w:pPr>
        <w:spacing w:after="36" w:before="36"/>
      </w:pPr>
      <w:r>
        <w:rPr>
          <w:i/>
          <w:iCs/>
          <w:color w:val="1A5E20"/>
          <w:sz w:val="19"/>
          <w:szCs w:val="19"/>
        </w:rPr>
        <w:t xml:space="preserve">✓  BTC Spot / Implied DVOL / Realised 30D / Variance Premium — correct four-card shape for every asset block</w:t>
      </w:r>
    </w:p>
    <w:p>
      <w:pPr>
        <w:spacing w:after="36" w:before="36"/>
      </w:pPr>
      <w:r>
        <w:rPr>
          <w:i/>
          <w:iCs/>
          <w:color w:val="1A5E20"/>
          <w:sz w:val="19"/>
          <w:szCs w:val="19"/>
        </w:rPr>
        <w:t xml:space="preserve">✓  Cross-Venue Volatility table — unique vs all competitors, keep</w:t>
      </w:r>
    </w:p>
    <w:p>
      <w:pPr>
        <w:spacing w:after="80" w:before="60"/>
      </w:pPr>
      <w:r>
        <w:rPr>
          <w:color w:val="111111"/>
          <w:sz w:val="20"/>
          <w:szCs w:val="20"/>
        </w:rPr>
        <w:t xml:space="preserve">The only code change: all values and labels sourced from per-asset DECLARED config rather than hardcoded BTC references. See Part B P2/P3/P4.</w:t>
      </w:r>
    </w:p>
    <w:p>
      <w:pPr>
        <w:spacing w:after="40" w:before="40"/>
      </w:pPr>
    </w:p>
    <w:p>
      <w:pPr>
        <w:pStyle w:val="Heading2"/>
        <w:spacing w:after="80" w:before="260"/>
      </w:pPr>
      <w:r>
        <w:rPr>
          <w:b/>
          <w:bCs/>
          <w:color w:val="111111"/>
          <w:sz w:val="26"/>
          <w:szCs w:val="26"/>
        </w:rPr>
        <w:t xml:space="preserve">A3-2  Cross-venue gap summary — simplify primary display  [NEW from GPT]</w:t>
      </w:r>
    </w:p>
    <w:p>
      <w:pPr>
        <w:spacing w:after="80" w:before="60"/>
      </w:pPr>
      <w:r>
        <w:rPr>
          <w:color w:val="111111"/>
          <w:sz w:val="20"/>
          <w:szCs w:val="20"/>
        </w:rPr>
        <w:t xml:space="preserve">GPT-4o found the current cross-venue table sophisticated but over-explained at first glance. Proposed: the primary card shows the gap and a plain-English interpretation. Full table expands on click.</w:t>
      </w:r>
    </w:p>
    <w:p>
      <w:pPr>
        <w:spacing w:after="80" w:before="60"/>
      </w:pPr>
      <w:r>
        <w:rPr>
          <w:color w:val="111111"/>
          <w:sz w:val="20"/>
          <w:szCs w:val="20"/>
        </w:rPr>
        <w:t xml:space="preserve">Primary display (always visible):</w:t>
      </w:r>
    </w:p>
    <w:p>
      <w:pPr>
        <w:shd w:fill="F2F2F2" w:val="clear"/>
        <w:spacing w:after="16" w:before="16"/>
        <w:ind w:left="720"/>
      </w:pPr>
      <w:r>
        <w:rPr>
          <w:rFonts w:ascii="Courier New" w:cs="Courier New" w:eastAsia="Courier New" w:hAnsi="Courier New"/>
          <w:sz w:val="18"/>
          <w:szCs w:val="18"/>
        </w:rPr>
        <w:t xml:space="preserve">BTC VOLATILITY</w:t>
      </w:r>
    </w:p>
    <w:p>
      <w:pPr>
        <w:shd w:fill="F2F2F2" w:val="clear"/>
        <w:spacing w:after="16" w:before="16"/>
        <w:ind w:left="720"/>
      </w:pPr>
      <w:r>
        <w:rPr>
          <w:rFonts w:ascii="Courier New" w:cs="Courier New" w:eastAsia="Courier New" w:hAnsi="Courier New"/>
          <w:sz w:val="18"/>
          <w:szCs w:val="18"/>
        </w:rPr>
        <w:t xml:space="preserve">DVOL  36.3%     ←   Bitcoin's own market</w:t>
      </w:r>
    </w:p>
    <w:p>
      <w:pPr>
        <w:shd w:fill="F2F2F2" w:val="clear"/>
        <w:spacing w:after="16" w:before="16"/>
        <w:ind w:left="720"/>
      </w:pPr>
      <w:r>
        <w:rPr>
          <w:rFonts w:ascii="Courier New" w:cs="Courier New" w:eastAsia="Courier New" w:hAnsi="Courier New"/>
          <w:sz w:val="18"/>
          <w:szCs w:val="18"/>
        </w:rPr>
        <w:t xml:space="preserve">IBIT   34.1%     ←   ETF options market</w:t>
      </w:r>
    </w:p>
    <w:p>
      <w:pPr>
        <w:shd w:fill="F2F2F2" w:val="clear"/>
        <w:spacing w:after="16" w:before="16"/>
        <w:ind w:left="720"/>
      </w:pPr>
      <w:r>
        <w:rPr>
          <w:rFonts w:ascii="Courier New" w:cs="Courier New" w:eastAsia="Courier New" w:hAnsi="Courier New"/>
          <w:sz w:val="18"/>
          <w:szCs w:val="18"/>
        </w:rPr>
        <w:t xml:space="preserve">Gap   −2.2pp   ALIGNED</w:t>
      </w:r>
    </w:p>
    <w:p>
      <w:pPr>
        <w:shd w:fill="F2F2F2" w:val="clear"/>
        <w:spacing w:after="16" w:before="16"/>
        <w:ind w:left="720"/>
      </w:pPr>
      <w:r>
        <w:rPr>
          <w:rFonts w:ascii="Courier New" w:cs="Courier New" w:eastAsia="Courier New" w:hAnsi="Courier New"/>
          <w:sz w:val="18"/>
          <w:szCs w:val="18"/>
        </w:rPr>
        <w:t xml:space="preserve"/>
      </w:r>
    </w:p>
    <w:p>
      <w:pPr>
        <w:shd w:fill="F2F2F2" w:val="clear"/>
        <w:spacing w:after="16" w:before="16"/>
        <w:ind w:left="720"/>
      </w:pPr>
      <w:r>
        <w:rPr>
          <w:rFonts w:ascii="Courier New" w:cs="Courier New" w:eastAsia="Courier New" w:hAnsi="Courier New"/>
          <w:sz w:val="18"/>
          <w:szCs w:val="18"/>
        </w:rPr>
        <w:t xml:space="preserve">'BTC options priced slightly richer than IBIT — normal alignment.'</w:t>
      </w:r>
    </w:p>
    <w:p>
      <w:pPr>
        <w:spacing w:after="80" w:before="60"/>
      </w:pPr>
      <w:r>
        <w:rPr>
          <w:color w:val="111111"/>
          <w:sz w:val="20"/>
          <w:szCs w:val="20"/>
        </w:rPr>
        <w:t xml:space="preserve">Full table (on click/expand): existing cross-venue breakdown with ETF IV vs DVOL per instrument.</w:t>
      </w:r>
    </w:p>
    <w:p>
      <w:pPr>
        <w:spacing w:after="40" w:before="40"/>
      </w:pPr>
    </w:p>
    <w:p>
      <w:pPr>
        <w:pStyle w:val="Heading2"/>
        <w:spacing w:after="80" w:before="260"/>
      </w:pPr>
      <w:r>
        <w:rPr>
          <w:b/>
          <w:bCs/>
          <w:color w:val="111111"/>
          <w:sz w:val="26"/>
          <w:szCs w:val="26"/>
        </w:rPr>
        <w:t xml:space="preserve">A3-3  Add VEGA Edge column to Tradeable Now table  [NEW from GPT]</w:t>
      </w:r>
    </w:p>
    <w:p>
      <w:pPr>
        <w:spacing w:after="80" w:before="60"/>
      </w:pPr>
      <w:r>
        <w:rPr>
          <w:color w:val="111111"/>
          <w:sz w:val="20"/>
          <w:szCs w:val="20"/>
        </w:rPr>
        <w:t xml:space="preserve">GPT-4o correctly identified that the Tradeable Now table shows True POP but not the gap vs. market-implied POP. This is the edge claim — the reason VEGA is recommending the trade. It should be visible in the table.</w:t>
      </w:r>
    </w:p>
    <w:p>
      <w:pPr>
        <w:spacing w:after="80" w:before="60"/>
      </w:pPr>
      <w:r>
        <w:rPr>
          <w:color w:val="111111"/>
          <w:sz w:val="20"/>
          <w:szCs w:val="20"/>
        </w:rPr>
        <w:t xml:space="preserve">Add column: 'EDGE' = true_pop - pop_implied (the pop_gap field from backend P-items). Show as '+Xpp' in green when positive, '−Xpp' in red when negative.</w:t>
      </w:r>
    </w:p>
    <w:p>
      <w:pPr>
        <w:spacing w:after="40" w:before="40"/>
      </w:pPr>
    </w:p>
    <w:p>
      <w:pPr>
        <w:pStyle w:val="Heading2"/>
        <w:spacing w:after="80" w:before="260"/>
      </w:pPr>
      <w:r>
        <w:rPr>
          <w:b/>
          <w:bCs/>
          <w:color w:val="111111"/>
          <w:sz w:val="26"/>
          <w:szCs w:val="26"/>
        </w:rPr>
        <w:t xml:space="preserve">A3-4  Directional Claims — 'learning period' message</w:t>
      </w:r>
    </w:p>
    <w:p>
      <w:pPr>
        <w:spacing w:after="80" w:before="60"/>
      </w:pPr>
      <w:r>
        <w:rPr>
          <w:color w:val="111111"/>
          <w:sz w:val="20"/>
          <w:szCs w:val="20"/>
        </w:rPr>
        <w:t xml:space="preserve">When resolved_count &lt; 5, show instead of the empty grid:</w:t>
      </w:r>
    </w:p>
    <w:p>
      <w:pPr>
        <w:shd w:fill="F2F2F2" w:val="clear"/>
        <w:spacing w:after="16" w:before="16"/>
        <w:ind w:left="720"/>
      </w:pPr>
      <w:r>
        <w:rPr>
          <w:rFonts w:ascii="Courier New" w:cs="Courier New" w:eastAsia="Courier New" w:hAnsi="Courier New"/>
          <w:sz w:val="18"/>
          <w:szCs w:val="18"/>
        </w:rPr>
        <w:t xml:space="preserve">VEGA is building its directional track record.</w:t>
      </w:r>
    </w:p>
    <w:p>
      <w:pPr>
        <w:shd w:fill="F2F2F2" w:val="clear"/>
        <w:spacing w:after="16" w:before="16"/>
        <w:ind w:left="720"/>
      </w:pPr>
      <w:r>
        <w:rPr>
          <w:rFonts w:ascii="Courier New" w:cs="Courier New" w:eastAsia="Courier New" w:hAnsi="Courier New"/>
          <w:sz w:val="18"/>
          <w:szCs w:val="18"/>
        </w:rPr>
        <w:t xml:space="preserve">[N] claims in flight — first resolutions expected [date].</w:t>
      </w:r>
    </w:p>
    <w:p>
      <w:pPr>
        <w:spacing w:after="40" w:before="40"/>
      </w:pPr>
    </w:p>
    <w:p>
      <w:pPr>
        <w:pBdr>
          <w:bottom w:val="single" w:color="1F3A7A" w:sz="8"/>
        </w:pBdr>
        <w:spacing w:after="200" w:before="200"/>
      </w:pPr>
    </w:p>
    <w:p>
      <w:pPr>
        <w:pStyle w:val="Heading1"/>
        <w:spacing w:after="120" w:before="400"/>
      </w:pPr>
      <w:r>
        <w:rPr>
          <w:b/>
          <w:bCs/>
          <w:color w:val="1F3A7A"/>
          <w:sz w:val="34"/>
          <w:szCs w:val="34"/>
        </w:rPr>
        <w:t xml:space="preserve">A4 — Lottery / Asymmetry / Momentum Tab  (renamed per Decision 1)</w:t>
      </w:r>
    </w:p>
    <w:p>
      <w:pPr>
        <w:spacing w:after="40" w:before="40"/>
      </w:pPr>
    </w:p>
    <w:p>
      <w:pPr>
        <w:pStyle w:val="Heading2"/>
        <w:spacing w:after="80" w:before="260"/>
      </w:pPr>
      <w:r>
        <w:rPr>
          <w:b/>
          <w:bCs/>
          <w:color w:val="111111"/>
          <w:sz w:val="26"/>
          <w:szCs w:val="26"/>
        </w:rPr>
        <w:t xml:space="preserve">A4-1  Visual distinction from premium-selling cards  [NEW from GPT]</w:t>
      </w:r>
    </w:p>
    <w:p>
      <w:pPr>
        <w:spacing w:after="80" w:before="60"/>
      </w:pPr>
      <w:r>
        <w:rPr>
          <w:color w:val="111111"/>
          <w:sz w:val="20"/>
          <w:szCs w:val="20"/>
        </w:rPr>
        <w:t xml:space="preserve">Current: the Lottery cards are nearly identical in design to the premium-selling opportunity cards. GPT-4o correctly flags that this makes the strategic relationship between the two types confusing — a user doesn't know if they're looking at the same kind of trade.</w:t>
      </w:r>
    </w:p>
    <w:p>
      <w:pPr>
        <w:spacing w:after="80" w:before="60"/>
      </w:pPr>
      <w:r>
        <w:rPr>
          <w:color w:val="111111"/>
          <w:sz w:val="20"/>
          <w:szCs w:val="20"/>
        </w:rPr>
        <w:t xml:space="preserve">Implement visual distinction:</w:t>
      </w:r>
    </w:p>
    <w:p>
      <w:pPr>
        <w:spacing w:after="36" w:before="36"/>
        <w:ind w:left="480"/>
      </w:pPr>
      <w:r>
        <w:rPr>
          <w:sz w:val="20"/>
          <w:szCs w:val="20"/>
        </w:rPr>
        <w:t xml:space="preserve">•  Premium-selling cards (Today tab): existing design — dark card, green credit highlight, spread structure focus</w:t>
      </w:r>
    </w:p>
    <w:p>
      <w:pPr>
        <w:spacing w:after="36" w:before="36"/>
        <w:ind w:left="480"/>
      </w:pPr>
      <w:r>
        <w:rPr>
          <w:sz w:val="20"/>
          <w:szCs w:val="20"/>
        </w:rPr>
        <w:t xml:space="preserve">•  Asymmetry/Momentum cards (this tab): same card dimensions but a distinct badge color and metric set</w:t>
      </w:r>
    </w:p>
    <w:p>
      <w:pPr>
        <w:spacing w:after="80" w:before="60"/>
      </w:pPr>
      <w:r>
        <w:rPr>
          <w:color w:val="111111"/>
          <w:sz w:val="20"/>
          <w:szCs w:val="20"/>
        </w:rPr>
        <w:t xml:space="preserve">The metric labels should also differ to reflect the different strategy type: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shd w:fill="EEF2F8" w:val="clear"/>
            <w:tcMar>
              <w:top w:type="dxa" w:w="80"/>
              <w:left w:type="dxa" w:w="120"/>
              <w:bottom w:type="dxa" w:w="80"/>
              <w:right w:type="dxa" w:w="120"/>
            </w:tcMar>
          </w:tcPr>
          <w:p>
            <w:r>
              <w:rPr>
                <w:b/>
                <w:bCs/>
                <w:color w:val="111111"/>
                <w:sz w:val="20"/>
                <w:szCs w:val="20"/>
              </w:rPr>
              <w:t xml:space="preserve">Premium Selling Card</w:t>
            </w:r>
          </w:p>
        </w:tc>
        <w:tc>
          <w:tcPr>
            <w:tcW w:type="dxa" w:w="4680"/>
            <w:shd w:fill="EEF2F8" w:val="clear"/>
            <w:tcMar>
              <w:top w:type="dxa" w:w="80"/>
              <w:left w:type="dxa" w:w="120"/>
              <w:bottom w:type="dxa" w:w="80"/>
              <w:right w:type="dxa" w:w="120"/>
            </w:tcMar>
          </w:tcPr>
          <w:p>
            <w:r>
              <w:rPr>
                <w:b/>
                <w:bCs/>
                <w:color w:val="111111"/>
                <w:sz w:val="20"/>
                <w:szCs w:val="20"/>
              </w:rPr>
              <w:t xml:space="preserve">Asymmetry / Momentum Card</w:t>
            </w:r>
          </w:p>
        </w:tc>
      </w:tr>
      <w:tr>
        <w:tc>
          <w:tcPr>
            <w:tcW w:type="dxa" w:w="4680"/>
            <w:tcMar>
              <w:top w:type="dxa" w:w="80"/>
              <w:left w:type="dxa" w:w="120"/>
              <w:bottom w:type="dxa" w:w="80"/>
              <w:right w:type="dxa" w:w="120"/>
            </w:tcMar>
          </w:tcPr>
          <w:p>
            <w:r>
              <w:rPr>
                <w:b w:val="false"/>
                <w:bCs w:val="false"/>
                <w:color w:val="111111"/>
                <w:sz w:val="20"/>
                <w:szCs w:val="20"/>
              </w:rPr>
              <w:t xml:space="preserve">Credit / Natural credit</w:t>
            </w:r>
          </w:p>
        </w:tc>
        <w:tc>
          <w:tcPr>
            <w:tcW w:type="dxa" w:w="4680"/>
            <w:tcMar>
              <w:top w:type="dxa" w:w="80"/>
              <w:left w:type="dxa" w:w="120"/>
              <w:bottom w:type="dxa" w:w="80"/>
              <w:right w:type="dxa" w:w="120"/>
            </w:tcMar>
          </w:tcPr>
          <w:p>
            <w:r>
              <w:rPr>
                <w:b w:val="false"/>
                <w:bCs w:val="false"/>
                <w:color w:val="111111"/>
                <w:sz w:val="20"/>
                <w:szCs w:val="20"/>
              </w:rPr>
              <w:t xml:space="preserve">Cost / Max Loss (already shows this — keep)</w:t>
            </w:r>
          </w:p>
        </w:tc>
      </w:tr>
      <w:tr>
        <w:tc>
          <w:tcPr>
            <w:tcW w:type="dxa" w:w="4680"/>
            <w:tcMar>
              <w:top w:type="dxa" w:w="80"/>
              <w:left w:type="dxa" w:w="120"/>
              <w:bottom w:type="dxa" w:w="80"/>
              <w:right w:type="dxa" w:w="120"/>
            </w:tcMar>
          </w:tcPr>
          <w:p>
            <w:r>
              <w:rPr>
                <w:b w:val="false"/>
                <w:bCs w:val="false"/>
                <w:color w:val="111111"/>
                <w:sz w:val="20"/>
                <w:szCs w:val="20"/>
              </w:rPr>
              <w:t xml:space="preserve">Max Loss</w:t>
            </w:r>
          </w:p>
        </w:tc>
        <w:tc>
          <w:tcPr>
            <w:tcW w:type="dxa" w:w="4680"/>
            <w:tcMar>
              <w:top w:type="dxa" w:w="80"/>
              <w:left w:type="dxa" w:w="120"/>
              <w:bottom w:type="dxa" w:w="80"/>
              <w:right w:type="dxa" w:w="120"/>
            </w:tcMar>
          </w:tcPr>
          <w:p>
            <w:r>
              <w:rPr>
                <w:b w:val="false"/>
                <w:bCs w:val="false"/>
                <w:color w:val="111111"/>
                <w:sz w:val="20"/>
                <w:szCs w:val="20"/>
              </w:rPr>
              <w:t xml:space="preserve">Target — absolute dollar value (see A4-3)</w:t>
            </w:r>
          </w:p>
        </w:tc>
      </w:tr>
      <w:tr>
        <w:tc>
          <w:tcPr>
            <w:tcW w:type="dxa" w:w="4680"/>
            <w:tcMar>
              <w:top w:type="dxa" w:w="80"/>
              <w:left w:type="dxa" w:w="120"/>
              <w:bottom w:type="dxa" w:w="80"/>
              <w:right w:type="dxa" w:w="120"/>
            </w:tcMar>
          </w:tcPr>
          <w:p>
            <w:r>
              <w:rPr>
                <w:b w:val="false"/>
                <w:bCs w:val="false"/>
                <w:color w:val="111111"/>
                <w:sz w:val="20"/>
                <w:szCs w:val="20"/>
              </w:rPr>
              <w:t xml:space="preserve">Win Prob → VEGA POP</w:t>
            </w:r>
          </w:p>
        </w:tc>
        <w:tc>
          <w:tcPr>
            <w:tcW w:type="dxa" w:w="4680"/>
            <w:tcMar>
              <w:top w:type="dxa" w:w="80"/>
              <w:left w:type="dxa" w:w="120"/>
              <w:bottom w:type="dxa" w:w="80"/>
              <w:right w:type="dxa" w:w="120"/>
            </w:tcMar>
          </w:tcPr>
          <w:p>
            <w:r>
              <w:rPr>
                <w:b w:val="false"/>
                <w:bCs w:val="false"/>
                <w:color w:val="111111"/>
                <w:sz w:val="20"/>
                <w:szCs w:val="20"/>
              </w:rPr>
              <w:t xml:space="preserve">Prob ITM → Chance of Winning (with Δ in tooltip)</w:t>
            </w:r>
          </w:p>
        </w:tc>
      </w:tr>
      <w:tr>
        <w:tc>
          <w:tcPr>
            <w:tcW w:type="dxa" w:w="4680"/>
            <w:tcMar>
              <w:top w:type="dxa" w:w="80"/>
              <w:left w:type="dxa" w:w="120"/>
              <w:bottom w:type="dxa" w:w="80"/>
              <w:right w:type="dxa" w:w="120"/>
            </w:tcMar>
          </w:tcPr>
          <w:p>
            <w:r>
              <w:rPr>
                <w:b w:val="false"/>
                <w:bCs w:val="false"/>
                <w:color w:val="111111"/>
                <w:sz w:val="20"/>
                <w:szCs w:val="20"/>
              </w:rPr>
              <w:t xml:space="preserve">ROC</w:t>
            </w:r>
          </w:p>
        </w:tc>
        <w:tc>
          <w:tcPr>
            <w:tcW w:type="dxa" w:w="4680"/>
            <w:tcMar>
              <w:top w:type="dxa" w:w="80"/>
              <w:left w:type="dxa" w:w="120"/>
              <w:bottom w:type="dxa" w:w="80"/>
              <w:right w:type="dxa" w:w="120"/>
            </w:tcMar>
          </w:tcPr>
          <w:p>
            <w:r>
              <w:rPr>
                <w:b w:val="false"/>
                <w:bCs w:val="false"/>
                <w:color w:val="111111"/>
                <w:sz w:val="20"/>
                <w:szCs w:val="20"/>
              </w:rPr>
              <w:t xml:space="preserve">Return if target hit</w:t>
            </w:r>
          </w:p>
        </w:tc>
      </w:tr>
      <w:tr>
        <w:tc>
          <w:tcPr>
            <w:tcW w:type="dxa" w:w="4680"/>
            <w:tcMar>
              <w:top w:type="dxa" w:w="80"/>
              <w:left w:type="dxa" w:w="120"/>
              <w:bottom w:type="dxa" w:w="80"/>
              <w:right w:type="dxa" w:w="120"/>
            </w:tcMar>
          </w:tcPr>
          <w:p>
            <w:r>
              <w:rPr>
                <w:b w:val="false"/>
                <w:bCs w:val="false"/>
                <w:color w:val="111111"/>
                <w:sz w:val="20"/>
                <w:szCs w:val="20"/>
              </w:rPr>
              <w:t xml:space="preserve">DTE</w:t>
            </w:r>
          </w:p>
        </w:tc>
        <w:tc>
          <w:tcPr>
            <w:tcW w:type="dxa" w:w="4680"/>
            <w:tcMar>
              <w:top w:type="dxa" w:w="80"/>
              <w:left w:type="dxa" w:w="120"/>
              <w:bottom w:type="dxa" w:w="80"/>
              <w:right w:type="dxa" w:w="120"/>
            </w:tcMar>
          </w:tcPr>
          <w:p>
            <w:r>
              <w:rPr>
                <w:b w:val="false"/>
                <w:bCs w:val="false"/>
                <w:color w:val="111111"/>
                <w:sz w:val="20"/>
                <w:szCs w:val="20"/>
              </w:rPr>
              <w:t xml:space="preserve">DTE (same)</w:t>
            </w:r>
          </w:p>
        </w:tc>
      </w:tr>
      <w:tr>
        <w:tc>
          <w:tcPr>
            <w:tcW w:type="dxa" w:w="4680"/>
            <w:tcMar>
              <w:top w:type="dxa" w:w="80"/>
              <w:left w:type="dxa" w:w="120"/>
              <w:bottom w:type="dxa" w:w="80"/>
              <w:right w:type="dxa" w:w="120"/>
            </w:tcMar>
          </w:tcPr>
          <w:p>
            <w:r>
              <w:rPr>
                <w:b w:val="false"/>
                <w:bCs w:val="false"/>
                <w:color w:val="111111"/>
                <w:sz w:val="20"/>
                <w:szCs w:val="20"/>
              </w:rPr>
              <w:t xml:space="preserve">Edge Score</w:t>
            </w:r>
          </w:p>
        </w:tc>
        <w:tc>
          <w:tcPr>
            <w:tcW w:type="dxa" w:w="4680"/>
            <w:tcMar>
              <w:top w:type="dxa" w:w="80"/>
              <w:left w:type="dxa" w:w="120"/>
              <w:bottom w:type="dxa" w:w="80"/>
              <w:right w:type="dxa" w:w="120"/>
            </w:tcMar>
          </w:tcPr>
          <w:p>
            <w:r>
              <w:rPr>
                <w:b w:val="false"/>
                <w:bCs w:val="false"/>
                <w:color w:val="111111"/>
                <w:sz w:val="20"/>
                <w:szCs w:val="20"/>
              </w:rPr>
              <w:t xml:space="preserve">IV Rank chip (see A4-4) — different metric priority</w:t>
            </w:r>
          </w:p>
        </w:tc>
      </w:tr>
    </w:tbl>
    <w:p>
      <w:pPr>
        <w:spacing w:after="40" w:before="40"/>
      </w:pPr>
    </w:p>
    <w:p>
      <w:pPr>
        <w:pStyle w:val="Heading2"/>
        <w:spacing w:after="80" w:before="260"/>
      </w:pPr>
      <w:r>
        <w:rPr>
          <w:b/>
          <w:bCs/>
          <w:color w:val="111111"/>
          <w:sz w:val="26"/>
          <w:szCs w:val="26"/>
        </w:rPr>
        <w:t xml:space="preserve">A4-2  'HOME RUN 3×' → TARGET with dollar amount  [NEW from GPT]</w:t>
      </w:r>
    </w:p>
    <w:p>
      <w:pPr>
        <w:spacing w:after="80" w:before="60"/>
      </w:pPr>
      <w:r>
        <w:rPr>
          <w:color w:val="111111"/>
          <w:sz w:val="20"/>
          <w:szCs w:val="20"/>
        </w:rPr>
        <w:t xml:space="preserve">Current: 'HOME RUN 3x'. GPT-4o correctly flags that 3x is a ratio, not a number. A user doesn't know if that's $300 or $3,000.</w:t>
      </w:r>
    </w:p>
    <w:p>
      <w:pPr>
        <w:spacing w:after="80" w:before="60"/>
      </w:pPr>
      <w:r>
        <w:rPr>
          <w:color w:val="111111"/>
          <w:sz w:val="20"/>
          <w:szCs w:val="20"/>
        </w:rPr>
        <w:t xml:space="preserve">Replace with:</w:t>
      </w:r>
    </w:p>
    <w:p>
      <w:pPr>
        <w:shd w:fill="F2F2F2" w:val="clear"/>
        <w:spacing w:after="16" w:before="16"/>
        <w:ind w:left="720"/>
      </w:pPr>
      <w:r>
        <w:rPr>
          <w:rFonts w:ascii="Courier New" w:cs="Courier New" w:eastAsia="Courier New" w:hAnsi="Courier New"/>
          <w:sz w:val="18"/>
          <w:szCs w:val="18"/>
        </w:rPr>
        <w:t xml:space="preserve">TARGET</w:t>
      </w:r>
    </w:p>
    <w:p>
      <w:pPr>
        <w:shd w:fill="F2F2F2" w:val="clear"/>
        <w:spacing w:after="16" w:before="16"/>
        <w:ind w:left="720"/>
      </w:pPr>
      <w:r>
        <w:rPr>
          <w:rFonts w:ascii="Courier New" w:cs="Courier New" w:eastAsia="Courier New" w:hAnsi="Courier New"/>
          <w:sz w:val="18"/>
          <w:szCs w:val="18"/>
        </w:rPr>
        <w:t xml:space="preserve">$1,167</w:t>
      </w:r>
    </w:p>
    <w:p>
      <w:pPr>
        <w:shd w:fill="F2F2F2" w:val="clear"/>
        <w:spacing w:after="16" w:before="16"/>
        <w:ind w:left="720"/>
      </w:pPr>
      <w:r>
        <w:rPr>
          <w:rFonts w:ascii="Courier New" w:cs="Courier New" w:eastAsia="Courier New" w:hAnsi="Courier New"/>
          <w:sz w:val="18"/>
          <w:szCs w:val="18"/>
        </w:rPr>
        <w:t xml:space="preserve">(3× return if reached)</w:t>
      </w:r>
    </w:p>
    <w:p>
      <w:pPr>
        <w:spacing w:after="80" w:before="60"/>
      </w:pPr>
      <w:r>
        <w:rPr>
          <w:color w:val="111111"/>
          <w:sz w:val="20"/>
          <w:szCs w:val="20"/>
        </w:rPr>
        <w:t xml:space="preserve">The dollar amount is the primary display. The 3× is a subtitle explaining the multiplier. For SPY ($389 cost): TARGET $1,167. For BAC ($62 cost): TARGET $186. Now the user can ask 'Is $186 worth the effort on BAC?' rather than interpreting an abstract multiple.</w:t>
      </w:r>
    </w:p>
    <w:p>
      <w:pPr>
        <w:spacing w:after="80" w:before="60"/>
      </w:pPr>
      <w:r>
        <w:rPr>
          <w:color w:val="111111"/>
          <w:sz w:val="20"/>
          <w:szCs w:val="20"/>
        </w:rPr>
        <w:t xml:space="preserve">If the 3× multiplier is always fixed, document it in the page subtitle: 'Home-run target: ~3× cost, based on strike selection.'</w:t>
      </w:r>
    </w:p>
    <w:p>
      <w:pPr>
        <w:spacing w:after="40" w:before="40"/>
      </w:pPr>
    </w:p>
    <w:p>
      <w:pPr>
        <w:pStyle w:val="Heading2"/>
        <w:spacing w:after="80" w:before="260"/>
      </w:pPr>
      <w:r>
        <w:rPr>
          <w:b/>
          <w:bCs/>
          <w:color w:val="111111"/>
          <w:sz w:val="26"/>
          <w:szCs w:val="26"/>
        </w:rPr>
        <w:t xml:space="preserve">A4-3  'HIGH' badge — replace with IV Rank chip</w:t>
      </w:r>
    </w:p>
    <w:p>
      <w:pPr>
        <w:spacing w:after="80" w:before="60"/>
      </w:pPr>
      <w:r>
        <w:rPr>
          <w:color w:val="111111"/>
          <w:sz w:val="20"/>
          <w:szCs w:val="20"/>
        </w:rPr>
        <w:t xml:space="preserve">Current: every card shows 'HIGH' in amber. If it never varies, it is decoration. Replace with IV Rank, which does vary:</w:t>
      </w:r>
    </w:p>
    <w:p>
      <w:pPr>
        <w:spacing w:after="36" w:before="36"/>
        <w:ind w:left="480"/>
      </w:pPr>
      <w:r>
        <w:rPr>
          <w:sz w:val="20"/>
          <w:szCs w:val="20"/>
        </w:rPr>
        <w:t xml:space="preserve">•  Label: 'IV Rank'</w:t>
      </w:r>
    </w:p>
    <w:p>
      <w:pPr>
        <w:spacing w:after="36" w:before="36"/>
        <w:ind w:left="480"/>
      </w:pPr>
      <w:r>
        <w:rPr>
          <w:sz w:val="20"/>
          <w:szCs w:val="20"/>
        </w:rPr>
        <w:t xml:space="preserve">•  Value: e.g. '67th pct'</w:t>
      </w:r>
    </w:p>
    <w:p>
      <w:pPr>
        <w:spacing w:after="36" w:before="36"/>
        <w:ind w:left="480"/>
      </w:pPr>
      <w:r>
        <w:rPr>
          <w:sz w:val="20"/>
          <w:szCs w:val="20"/>
        </w:rPr>
        <w:t xml:space="preserve">•  Color: green ≤ 30th (cheap), amber 30–70th (normal), red ≥ 70th (expensive)</w:t>
      </w:r>
    </w:p>
    <w:p>
      <w:pPr>
        <w:spacing w:after="80" w:before="60"/>
      </w:pPr>
      <w:r>
        <w:rPr>
          <w:color w:val="111111"/>
          <w:sz w:val="20"/>
          <w:szCs w:val="20"/>
        </w:rPr>
        <w:t xml:space="preserve">A call option on 80th percentile IV is expensive — the buyer needs a bigger move to overcome that premium. This chip is essential for honest risk framing.</w:t>
      </w:r>
    </w:p>
    <w:p>
      <w:pPr>
        <w:spacing w:after="40" w:before="40"/>
      </w:pPr>
    </w:p>
    <w:p>
      <w:pPr>
        <w:pStyle w:val="Heading2"/>
        <w:spacing w:after="80" w:before="260"/>
      </w:pPr>
      <w:r>
        <w:rPr>
          <w:b/>
          <w:bCs/>
          <w:color w:val="111111"/>
          <w:sz w:val="26"/>
          <w:szCs w:val="26"/>
        </w:rPr>
        <w:t xml:space="preserve">A4-4  Enrich 'Why' copy with directional tag</w:t>
      </w:r>
    </w:p>
    <w:p>
      <w:pPr>
        <w:spacing w:after="80" w:before="60"/>
      </w:pPr>
      <w:r>
        <w:rPr>
          <w:color w:val="111111"/>
          <w:sz w:val="20"/>
          <w:szCs w:val="20"/>
        </w:rPr>
        <w:t xml:space="preserve">Once Part B P1 (Pattern Direction Tags) is implemented, the Why section should prefix with the directional signal:</w:t>
      </w:r>
    </w:p>
    <w:p>
      <w:pPr>
        <w:shd w:fill="F2F2F2" w:val="clear"/>
        <w:spacing w:after="16" w:before="16"/>
        <w:ind w:left="720"/>
      </w:pPr>
      <w:r>
        <w:rPr>
          <w:rFonts w:ascii="Courier New" w:cs="Courier New" w:eastAsia="Courier New" w:hAnsi="Courier New"/>
          <w:sz w:val="18"/>
          <w:szCs w:val="18"/>
        </w:rPr>
        <w:t xml:space="preserve">[BULLISH MOMENTUM]</w:t>
      </w:r>
    </w:p>
    <w:p>
      <w:pPr>
        <w:shd w:fill="F2F2F2" w:val="clear"/>
        <w:spacing w:after="16" w:before="16"/>
        <w:ind w:left="720"/>
      </w:pPr>
      <w:r>
        <w:rPr>
          <w:rFonts w:ascii="Courier New" w:cs="Courier New" w:eastAsia="Courier New" w:hAnsi="Courier New"/>
          <w:sz w:val="18"/>
          <w:szCs w:val="18"/>
        </w:rPr>
        <w:t xml:space="preserve">RSI 66 — building strength, room before overbought</w:t>
      </w:r>
    </w:p>
    <w:p>
      <w:pPr>
        <w:shd w:fill="F2F2F2" w:val="clear"/>
        <w:spacing w:after="16" w:before="16"/>
        <w:ind w:left="720"/>
      </w:pPr>
      <w:r>
        <w:rPr>
          <w:rFonts w:ascii="Courier New" w:cs="Courier New" w:eastAsia="Courier New" w:hAnsi="Courier New"/>
          <w:sz w:val="18"/>
          <w:szCs w:val="18"/>
        </w:rPr>
        <w:t xml:space="preserve">Above SMA20 $751.37 and SMA50 $747.02</w:t>
      </w:r>
    </w:p>
    <w:p>
      <w:pPr>
        <w:shd w:fill="F2F2F2" w:val="clear"/>
        <w:spacing w:after="16" w:before="16"/>
        <w:ind w:left="720"/>
      </w:pPr>
      <w:r>
        <w:rPr>
          <w:rFonts w:ascii="Courier New" w:cs="Courier New" w:eastAsia="Courier New" w:hAnsi="Courier New"/>
          <w:sz w:val="18"/>
          <w:szCs w:val="18"/>
        </w:rPr>
        <w:t xml:space="preserve">Breakeven +2.7% to $793.89  ·  ~3× if reaches $805.56</w:t>
      </w:r>
    </w:p>
    <w:p>
      <w:pPr>
        <w:shd w:fill="F2F2F2" w:val="clear"/>
        <w:spacing w:after="16" w:before="16"/>
        <w:ind w:left="720"/>
      </w:pPr>
      <w:r>
        <w:rPr>
          <w:rFonts w:ascii="Courier New" w:cs="Courier New" w:eastAsia="Courier New" w:hAnsi="Courier New"/>
          <w:sz w:val="18"/>
          <w:szCs w:val="18"/>
        </w:rPr>
        <w:t xml:space="preserve">News NEUTRAL</w:t>
      </w:r>
    </w:p>
    <w:p>
      <w:pPr>
        <w:spacing w:after="80" w:before="60"/>
      </w:pPr>
      <w:r>
        <w:rPr>
          <w:color w:val="111111"/>
          <w:sz w:val="20"/>
          <w:szCs w:val="20"/>
        </w:rPr>
        <w:t xml:space="preserve">The plain-language translation of RSI ('building strength, room before overbought') is the Layer 2 differentiator. RSI numbers mean nothing to a realtor. The translation is what they came for.</w:t>
      </w:r>
    </w:p>
    <w:p>
      <w:pPr>
        <w:spacing w:after="40" w:before="40"/>
      </w:pPr>
    </w:p>
    <w:p>
      <w:pPr>
        <w:pStyle w:val="Heading2"/>
        <w:spacing w:after="80" w:before="260"/>
      </w:pPr>
      <w:r>
        <w:rPr>
          <w:b/>
          <w:bCs/>
          <w:color w:val="111111"/>
          <w:sz w:val="26"/>
          <w:szCs w:val="26"/>
        </w:rPr>
        <w:t xml:space="preserve">A4-5  Three-button set on Momentum cards too</w:t>
      </w:r>
    </w:p>
    <w:p>
      <w:pPr>
        <w:spacing w:after="80" w:before="60"/>
      </w:pPr>
      <w:r>
        <w:rPr>
          <w:color w:val="111111"/>
          <w:sz w:val="20"/>
          <w:szCs w:val="20"/>
        </w:rPr>
        <w:t xml:space="preserve">Add the same PAPER TRADE / WATCH / REJECT action set to Momentum/Asymmetry cards (same as A2-11). A watched Momentum call that later moves +300% is exactly the kind of counterfactual that trains user judgment and (eventually) model calibration.</w:t>
      </w:r>
    </w:p>
    <w:p>
      <w:pPr>
        <w:spacing w:after="40" w:before="40"/>
      </w:pPr>
    </w:p>
    <w:p>
      <w:pPr>
        <w:pStyle w:val="Heading2"/>
        <w:spacing w:after="80" w:before="260"/>
      </w:pPr>
      <w:r>
        <w:rPr>
          <w:b/>
          <w:bCs/>
          <w:color w:val="111111"/>
          <w:sz w:val="26"/>
          <w:szCs w:val="26"/>
        </w:rPr>
        <w:t xml:space="preserve">A4-6  Elements to KEEP verbatim</w:t>
      </w:r>
    </w:p>
    <w:p>
      <w:pPr>
        <w:spacing w:after="36" w:before="36"/>
      </w:pPr>
      <w:r>
        <w:rPr>
          <w:i/>
          <w:iCs/>
          <w:color w:val="1A5E20"/>
          <w:sz w:val="19"/>
          <w:szCs w:val="19"/>
        </w:rPr>
        <w:t xml:space="preserve">✓  SPECULATIVE / ASYMMETRIC disclaimer banner — do not change a word</w:t>
      </w:r>
    </w:p>
    <w:p>
      <w:pPr>
        <w:spacing w:after="36" w:before="36"/>
      </w:pPr>
      <w:r>
        <w:rPr>
          <w:i/>
          <w:iCs/>
          <w:color w:val="1A5E20"/>
          <w:sz w:val="19"/>
          <w:szCs w:val="19"/>
        </w:rPr>
        <w:t xml:space="preserve">✓  After-hours stale data banner</w:t>
      </w:r>
    </w:p>
    <w:p>
      <w:pPr>
        <w:spacing w:after="36" w:before="36"/>
      </w:pPr>
      <w:r>
        <w:rPr>
          <w:i/>
          <w:iCs/>
          <w:color w:val="1A5E20"/>
          <w:sz w:val="19"/>
          <w:szCs w:val="19"/>
        </w:rPr>
        <w:t xml:space="preserve">✓  2-column card grid — clean and legible</w:t>
      </w:r>
    </w:p>
    <w:p>
      <w:pPr>
        <w:spacing w:after="36" w:before="36"/>
      </w:pPr>
      <w:r>
        <w:rPr>
          <w:i/>
          <w:iCs/>
          <w:color w:val="1A5E20"/>
          <w:sz w:val="19"/>
          <w:szCs w:val="19"/>
        </w:rPr>
        <w:t xml:space="preserve">✓  CALL badge on each card</w:t>
      </w:r>
    </w:p>
    <w:p>
      <w:pPr>
        <w:spacing w:after="36" w:before="36"/>
      </w:pPr>
      <w:r>
        <w:rPr>
          <w:i/>
          <w:iCs/>
          <w:color w:val="1A5E20"/>
          <w:sz w:val="19"/>
          <w:szCs w:val="19"/>
        </w:rPr>
        <w:t xml:space="preserve">✓  COST / MAX LOSS in red — correct risk-first framing</w:t>
      </w:r>
    </w:p>
    <w:p>
      <w:pPr>
        <w:spacing w:after="40" w:before="40"/>
      </w:pPr>
    </w:p>
    <w:p>
      <w:pPr>
        <w:pBdr>
          <w:bottom w:val="single" w:color="1F3A7A" w:sz="8"/>
        </w:pBdr>
        <w:spacing w:after="200" w:before="200"/>
      </w:pPr>
    </w:p>
    <w:p>
      <w:pPr>
        <w:pStyle w:val="Heading1"/>
        <w:spacing w:after="120" w:before="400"/>
      </w:pPr>
      <w:r>
        <w:rPr>
          <w:b/>
          <w:bCs/>
          <w:color w:val="1F3A7A"/>
          <w:sz w:val="34"/>
          <w:szCs w:val="34"/>
        </w:rPr>
        <w:t xml:space="preserve">A5 — Global / All Views</w:t>
      </w:r>
    </w:p>
    <w:p>
      <w:pPr>
        <w:spacing w:after="40" w:before="40"/>
      </w:pPr>
    </w:p>
    <w:p>
      <w:pPr>
        <w:pStyle w:val="Heading2"/>
        <w:spacing w:after="80" w:before="260"/>
      </w:pPr>
      <w:r>
        <w:rPr>
          <w:b/>
          <w:bCs/>
          <w:color w:val="111111"/>
          <w:sz w:val="26"/>
          <w:szCs w:val="26"/>
        </w:rPr>
        <w:t xml:space="preserve">A5-1  Progressive disclosure as structural principle  [CONVERGED]</w:t>
      </w:r>
    </w:p>
    <w:p>
      <w:pPr>
        <w:spacing w:after="80" w:before="60"/>
      </w:pPr>
      <w:r>
        <w:rPr>
          <w:color w:val="111111"/>
          <w:sz w:val="20"/>
          <w:szCs w:val="20"/>
        </w:rPr>
        <w:t xml:space="preserve">Both reviews independently arrived at the same finding: VEGA currently presents Level 2–4 information simultaneously. The product needs four disclosure levels: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200"/>
        <w:gridCol w:w="3600"/>
        <w:gridCol w:w="4560"/>
      </w:tblGrid>
      <w:tr>
        <w:tc>
          <w:tcPr>
            <w:tcW w:type="dxa" w:w="1200"/>
            <w:shd w:fill="EEF2F8" w:val="clear"/>
            <w:tcMar>
              <w:top w:type="dxa" w:w="80"/>
              <w:left w:type="dxa" w:w="120"/>
              <w:bottom w:type="dxa" w:w="80"/>
              <w:right w:type="dxa" w:w="120"/>
            </w:tcMar>
          </w:tcPr>
          <w:p>
            <w:r>
              <w:rPr>
                <w:b/>
                <w:bCs/>
                <w:color w:val="111111"/>
                <w:sz w:val="20"/>
                <w:szCs w:val="20"/>
              </w:rPr>
              <w:t xml:space="preserve">Level</w:t>
            </w:r>
          </w:p>
        </w:tc>
        <w:tc>
          <w:tcPr>
            <w:tcW w:type="dxa" w:w="3600"/>
            <w:shd w:fill="EEF2F8" w:val="clear"/>
            <w:tcMar>
              <w:top w:type="dxa" w:w="80"/>
              <w:left w:type="dxa" w:w="120"/>
              <w:bottom w:type="dxa" w:w="80"/>
              <w:right w:type="dxa" w:w="120"/>
            </w:tcMar>
          </w:tcPr>
          <w:p>
            <w:r>
              <w:rPr>
                <w:b/>
                <w:bCs/>
                <w:color w:val="111111"/>
                <w:sz w:val="20"/>
                <w:szCs w:val="20"/>
              </w:rPr>
              <w:t xml:space="preserve">User Question</w:t>
            </w:r>
          </w:p>
        </w:tc>
        <w:tc>
          <w:tcPr>
            <w:tcW w:type="dxa" w:w="4560"/>
            <w:shd w:fill="EEF2F8" w:val="clear"/>
            <w:tcMar>
              <w:top w:type="dxa" w:w="80"/>
              <w:left w:type="dxa" w:w="120"/>
              <w:bottom w:type="dxa" w:w="80"/>
              <w:right w:type="dxa" w:w="120"/>
            </w:tcMar>
          </w:tcPr>
          <w:p>
            <w:r>
              <w:rPr>
                <w:b/>
                <w:bCs/>
                <w:color w:val="111111"/>
                <w:sz w:val="20"/>
                <w:szCs w:val="20"/>
              </w:rPr>
              <w:t xml:space="preserve">Shown By Default</w:t>
            </w:r>
          </w:p>
        </w:tc>
      </w:tr>
      <w:tr>
        <w:tc>
          <w:tcPr>
            <w:tcW w:type="dxa" w:w="1200"/>
            <w:tcMar>
              <w:top w:type="dxa" w:w="80"/>
              <w:left w:type="dxa" w:w="120"/>
              <w:bottom w:type="dxa" w:w="80"/>
              <w:right w:type="dxa" w:w="120"/>
            </w:tcMar>
          </w:tcPr>
          <w:p>
            <w:r>
              <w:rPr>
                <w:b w:val="false"/>
                <w:bCs w:val="false"/>
                <w:color w:val="111111"/>
                <w:sz w:val="20"/>
                <w:szCs w:val="20"/>
              </w:rPr>
              <w:t xml:space="preserve">1</w:t>
            </w:r>
          </w:p>
        </w:tc>
        <w:tc>
          <w:tcPr>
            <w:tcW w:type="dxa" w:w="3600"/>
            <w:tcMar>
              <w:top w:type="dxa" w:w="80"/>
              <w:left w:type="dxa" w:w="120"/>
              <w:bottom w:type="dxa" w:w="80"/>
              <w:right w:type="dxa" w:w="120"/>
            </w:tcMar>
          </w:tcPr>
          <w:p>
            <w:r>
              <w:rPr>
                <w:b w:val="false"/>
                <w:bCs w:val="false"/>
                <w:color w:val="111111"/>
                <w:sz w:val="20"/>
                <w:szCs w:val="20"/>
              </w:rPr>
              <w:t xml:space="preserve">What should I look at?</w:t>
            </w:r>
          </w:p>
        </w:tc>
        <w:tc>
          <w:tcPr>
            <w:tcW w:type="dxa" w:w="4560"/>
            <w:tcMar>
              <w:top w:type="dxa" w:w="80"/>
              <w:left w:type="dxa" w:w="120"/>
              <w:bottom w:type="dxa" w:w="80"/>
              <w:right w:type="dxa" w:w="120"/>
            </w:tcMar>
          </w:tcPr>
          <w:p>
            <w:r>
              <w:rPr>
                <w:b w:val="false"/>
                <w:bCs w:val="false"/>
                <w:color w:val="111111"/>
                <w:sz w:val="20"/>
                <w:szCs w:val="20"/>
              </w:rPr>
              <w:t xml:space="preserve">Yes — Mission Control, opportunity density, top pick</w:t>
            </w:r>
          </w:p>
        </w:tc>
      </w:tr>
      <w:tr>
        <w:tc>
          <w:tcPr>
            <w:tcW w:type="dxa" w:w="1200"/>
            <w:tcMar>
              <w:top w:type="dxa" w:w="80"/>
              <w:left w:type="dxa" w:w="120"/>
              <w:bottom w:type="dxa" w:w="80"/>
              <w:right w:type="dxa" w:w="120"/>
            </w:tcMar>
          </w:tcPr>
          <w:p>
            <w:r>
              <w:rPr>
                <w:b w:val="false"/>
                <w:bCs w:val="false"/>
                <w:color w:val="111111"/>
                <w:sz w:val="20"/>
                <w:szCs w:val="20"/>
              </w:rPr>
              <w:t xml:space="preserve">2</w:t>
            </w:r>
          </w:p>
        </w:tc>
        <w:tc>
          <w:tcPr>
            <w:tcW w:type="dxa" w:w="3600"/>
            <w:tcMar>
              <w:top w:type="dxa" w:w="80"/>
              <w:left w:type="dxa" w:w="120"/>
              <w:bottom w:type="dxa" w:w="80"/>
              <w:right w:type="dxa" w:w="120"/>
            </w:tcMar>
          </w:tcPr>
          <w:p>
            <w:r>
              <w:rPr>
                <w:b w:val="false"/>
                <w:bCs w:val="false"/>
                <w:color w:val="111111"/>
                <w:sz w:val="20"/>
                <w:szCs w:val="20"/>
              </w:rPr>
              <w:t xml:space="preserve">Why?</w:t>
            </w:r>
          </w:p>
        </w:tc>
        <w:tc>
          <w:tcPr>
            <w:tcW w:type="dxa" w:w="4560"/>
            <w:tcMar>
              <w:top w:type="dxa" w:w="80"/>
              <w:left w:type="dxa" w:w="120"/>
              <w:bottom w:type="dxa" w:w="80"/>
              <w:right w:type="dxa" w:w="120"/>
            </w:tcMar>
          </w:tcPr>
          <w:p>
            <w:r>
              <w:rPr>
                <w:b w:val="false"/>
                <w:bCs w:val="false"/>
                <w:color w:val="111111"/>
                <w:sz w:val="20"/>
                <w:szCs w:val="20"/>
              </w:rPr>
              <w:t xml:space="preserve">Yes — VEGA Thesis (3-bucket format from A2-8)</w:t>
            </w:r>
          </w:p>
        </w:tc>
      </w:tr>
      <w:tr>
        <w:tc>
          <w:tcPr>
            <w:tcW w:type="dxa" w:w="1200"/>
            <w:tcMar>
              <w:top w:type="dxa" w:w="80"/>
              <w:left w:type="dxa" w:w="120"/>
              <w:bottom w:type="dxa" w:w="80"/>
              <w:right w:type="dxa" w:w="120"/>
            </w:tcMar>
          </w:tcPr>
          <w:p>
            <w:r>
              <w:rPr>
                <w:b w:val="false"/>
                <w:bCs w:val="false"/>
                <w:color w:val="111111"/>
                <w:sz w:val="20"/>
                <w:szCs w:val="20"/>
              </w:rPr>
              <w:t xml:space="preserve">3</w:t>
            </w:r>
          </w:p>
        </w:tc>
        <w:tc>
          <w:tcPr>
            <w:tcW w:type="dxa" w:w="3600"/>
            <w:tcMar>
              <w:top w:type="dxa" w:w="80"/>
              <w:left w:type="dxa" w:w="120"/>
              <w:bottom w:type="dxa" w:w="80"/>
              <w:right w:type="dxa" w:w="120"/>
            </w:tcMar>
          </w:tcPr>
          <w:p>
            <w:r>
              <w:rPr>
                <w:b w:val="false"/>
                <w:bCs w:val="false"/>
                <w:color w:val="111111"/>
                <w:sz w:val="20"/>
                <w:szCs w:val="20"/>
              </w:rPr>
              <w:t xml:space="preserve">Show me the quantitative evidence.</w:t>
            </w:r>
          </w:p>
        </w:tc>
        <w:tc>
          <w:tcPr>
            <w:tcW w:type="dxa" w:w="4560"/>
            <w:tcMar>
              <w:top w:type="dxa" w:w="80"/>
              <w:left w:type="dxa" w:w="120"/>
              <w:bottom w:type="dxa" w:w="80"/>
              <w:right w:type="dxa" w:w="120"/>
            </w:tcMar>
          </w:tcPr>
          <w:p>
            <w:r>
              <w:rPr>
                <w:b w:val="false"/>
                <w:bCs w:val="false"/>
                <w:color w:val="111111"/>
                <w:sz w:val="20"/>
                <w:szCs w:val="20"/>
              </w:rPr>
              <w:t xml:space="preserve">On click/expand — VRP detail, POP model, Greeks</w:t>
            </w:r>
          </w:p>
        </w:tc>
      </w:tr>
      <w:tr>
        <w:tc>
          <w:tcPr>
            <w:tcW w:type="dxa" w:w="1200"/>
            <w:tcMar>
              <w:top w:type="dxa" w:w="80"/>
              <w:left w:type="dxa" w:w="120"/>
              <w:bottom w:type="dxa" w:w="80"/>
              <w:right w:type="dxa" w:w="120"/>
            </w:tcMar>
          </w:tcPr>
          <w:p>
            <w:r>
              <w:rPr>
                <w:b w:val="false"/>
                <w:bCs w:val="false"/>
                <w:color w:val="111111"/>
                <w:sz w:val="20"/>
                <w:szCs w:val="20"/>
              </w:rPr>
              <w:t xml:space="preserve">4</w:t>
            </w:r>
          </w:p>
        </w:tc>
        <w:tc>
          <w:tcPr>
            <w:tcW w:type="dxa" w:w="3600"/>
            <w:tcMar>
              <w:top w:type="dxa" w:w="80"/>
              <w:left w:type="dxa" w:w="120"/>
              <w:bottom w:type="dxa" w:w="80"/>
              <w:right w:type="dxa" w:w="120"/>
            </w:tcMar>
          </w:tcPr>
          <w:p>
            <w:r>
              <w:rPr>
                <w:b w:val="false"/>
                <w:bCs w:val="false"/>
                <w:color w:val="111111"/>
                <w:sz w:val="20"/>
                <w:szCs w:val="20"/>
              </w:rPr>
              <w:t xml:space="preserve">Show me the model methodology.</w:t>
            </w:r>
          </w:p>
        </w:tc>
        <w:tc>
          <w:tcPr>
            <w:tcW w:type="dxa" w:w="4560"/>
            <w:tcMar>
              <w:top w:type="dxa" w:w="80"/>
              <w:left w:type="dxa" w:w="120"/>
              <w:bottom w:type="dxa" w:w="80"/>
              <w:right w:type="dxa" w:w="120"/>
            </w:tcMar>
          </w:tcPr>
          <w:p>
            <w:r>
              <w:rPr>
                <w:b w:val="false"/>
                <w:bCs w:val="false"/>
                <w:color w:val="111111"/>
                <w:sz w:val="20"/>
                <w:szCs w:val="20"/>
              </w:rPr>
              <w:t xml:space="preserve">On click — Track Record tab, calibration, comparable setups</w:t>
            </w:r>
          </w:p>
        </w:tc>
      </w:tr>
    </w:tbl>
    <w:p>
      <w:pPr>
        <w:spacing w:after="80" w:before="60"/>
      </w:pPr>
      <w:r>
        <w:rPr>
          <w:color w:val="111111"/>
          <w:sz w:val="20"/>
          <w:szCs w:val="20"/>
        </w:rPr>
        <w:t xml:space="preserve">Implementation note: expandable cards are the correct mechanism. The default collapsed view shows Level 1–2. A 'View Analysis' button expands Level 3–4. This is a medium-effort UI change — do not attempt in this code session. Flag as next UI sprint.</w:t>
      </w:r>
    </w:p>
    <w:p>
      <w:pPr>
        <w:spacing w:after="40" w:before="40"/>
      </w:pPr>
    </w:p>
    <w:p>
      <w:pPr>
        <w:pStyle w:val="Heading2"/>
        <w:spacing w:after="80" w:before="260"/>
      </w:pPr>
      <w:r>
        <w:rPr>
          <w:b/>
          <w:bCs/>
          <w:color w:val="111111"/>
          <w:sz w:val="26"/>
          <w:szCs w:val="26"/>
        </w:rPr>
        <w:t xml:space="preserve">A5-2  Mobile legibility — density reduction</w:t>
      </w:r>
    </w:p>
    <w:p>
      <w:pPr>
        <w:spacing w:after="80" w:before="60"/>
      </w:pPr>
      <w:r>
        <w:rPr>
          <w:color w:val="111111"/>
          <w:sz w:val="20"/>
          <w:szCs w:val="20"/>
        </w:rPr>
        <w:t xml:space="preserve">Dashboard is unreadable at mobile resolutions. SpreadSignal (Layer 2) audience hits VEGA from YouTube links on phones first.</w:t>
      </w:r>
    </w:p>
    <w:p>
      <w:pPr>
        <w:spacing w:after="36" w:before="36"/>
        <w:ind w:left="480"/>
      </w:pPr>
      <w:r>
        <w:rPr>
          <w:sz w:val="20"/>
          <w:szCs w:val="20"/>
        </w:rPr>
        <w:t xml:space="preserve">•  Today tab: stack KPI cards vertically, full width on mobile</w:t>
      </w:r>
    </w:p>
    <w:p>
      <w:pPr>
        <w:spacing w:after="36" w:before="36"/>
        <w:ind w:left="480"/>
      </w:pPr>
      <w:r>
        <w:rPr>
          <w:sz w:val="20"/>
          <w:szCs w:val="20"/>
        </w:rPr>
        <w:t xml:space="preserve">•  Opportunity table: collapse to ticker + recommendation + CTA on mobile, expandable</w:t>
      </w:r>
    </w:p>
    <w:p>
      <w:pPr>
        <w:spacing w:after="36" w:before="36"/>
        <w:ind w:left="480"/>
      </w:pPr>
      <w:r>
        <w:rPr>
          <w:sz w:val="20"/>
          <w:szCs w:val="20"/>
        </w:rPr>
        <w:t xml:space="preserve">•  Asymmetry tab: single-column card layout on mobile</w:t>
      </w:r>
    </w:p>
    <w:p>
      <w:pPr>
        <w:spacing w:after="36" w:before="36"/>
        <w:ind w:left="480"/>
      </w:pPr>
      <w:r>
        <w:rPr>
          <w:sz w:val="20"/>
          <w:szCs w:val="20"/>
        </w:rPr>
        <w:t xml:space="preserve">•  Research/Crypto tab: asset blocks stack vertically</w:t>
      </w:r>
    </w:p>
    <w:p>
      <w:pPr>
        <w:spacing w:after="60" w:before="40"/>
      </w:pPr>
      <w:r>
        <w:rPr>
          <w:i/>
          <w:iCs/>
          <w:color w:val="B35900"/>
          <w:sz w:val="19"/>
          <w:szCs w:val="19"/>
        </w:rPr>
        <w:t xml:space="preserve">⚠  Use responsive CSS breakpoints, not a separate mobile site. The dark theme translates well — only layout needs to adapt.</w:t>
      </w:r>
    </w:p>
    <w:p>
      <w:pPr>
        <w:spacing w:after="40" w:before="40"/>
      </w:pPr>
    </w:p>
    <w:p>
      <w:pPr>
        <w:pStyle w:val="Heading2"/>
        <w:spacing w:after="80" w:before="260"/>
      </w:pPr>
      <w:r>
        <w:rPr>
          <w:b/>
          <w:bCs/>
          <w:color w:val="111111"/>
          <w:sz w:val="26"/>
          <w:szCs w:val="26"/>
        </w:rPr>
        <w:t xml:space="preserve">A5-3  Track Record / Calibration — make it front-and-center  [CRITICAL — CONVERGED]</w:t>
      </w:r>
    </w:p>
    <w:p>
      <w:pPr>
        <w:spacing w:after="60" w:before="40"/>
      </w:pPr>
      <w:r>
        <w:rPr>
          <w:b/>
          <w:bCs/>
          <w:color w:val="1A5E20"/>
          <w:sz w:val="20"/>
          <w:szCs w:val="20"/>
        </w:rPr>
        <w:t xml:space="preserve">▲ CONVERGENT — both reviews agree:  </w:t>
      </w:r>
      <w:r>
        <w:rPr>
          <w:sz w:val="20"/>
          <w:szCs w:val="20"/>
        </w:rPr>
        <w:t xml:space="preserve">Both reviews flag this explicitly. GPT-4o: 'The UI is currently ahead of the evidence supporting the intelligence underneath it.' This is a warning, not a compliment.</w:t>
      </w:r>
    </w:p>
    <w:p>
      <w:pPr>
        <w:spacing w:after="80" w:before="60"/>
      </w:pPr>
      <w:r>
        <w:rPr>
          <w:color w:val="111111"/>
          <w:sz w:val="20"/>
          <w:szCs w:val="20"/>
        </w:rPr>
        <w:t xml:space="preserve">The Track Record tab must eventually show VEGA POP calibration — not just win/loss count:</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2500"/>
        <w:gridCol w:w="2000"/>
        <w:gridCol w:w="2000"/>
        <w:gridCol w:w="2860"/>
      </w:tblGrid>
      <w:tr>
        <w:tc>
          <w:tcPr>
            <w:tcW w:type="dxa" w:w="2500"/>
            <w:shd w:fill="EEF2F8" w:val="clear"/>
            <w:tcMar>
              <w:top w:type="dxa" w:w="80"/>
              <w:left w:type="dxa" w:w="120"/>
              <w:bottom w:type="dxa" w:w="80"/>
              <w:right w:type="dxa" w:w="120"/>
            </w:tcMar>
          </w:tcPr>
          <w:p>
            <w:r>
              <w:rPr>
                <w:b/>
                <w:bCs/>
                <w:color w:val="111111"/>
                <w:sz w:val="20"/>
                <w:szCs w:val="20"/>
              </w:rPr>
              <w:t xml:space="preserve">VEGA POP Bucket</w:t>
            </w:r>
          </w:p>
        </w:tc>
        <w:tc>
          <w:tcPr>
            <w:tcW w:type="dxa" w:w="2000"/>
            <w:shd w:fill="EEF2F8" w:val="clear"/>
            <w:tcMar>
              <w:top w:type="dxa" w:w="80"/>
              <w:left w:type="dxa" w:w="120"/>
              <w:bottom w:type="dxa" w:w="80"/>
              <w:right w:type="dxa" w:w="120"/>
            </w:tcMar>
          </w:tcPr>
          <w:p>
            <w:r>
              <w:rPr>
                <w:b/>
                <w:bCs/>
                <w:color w:val="111111"/>
                <w:sz w:val="20"/>
                <w:szCs w:val="20"/>
              </w:rPr>
              <w:t xml:space="preserve">Predicted Win Rate</w:t>
            </w:r>
          </w:p>
        </w:tc>
        <w:tc>
          <w:tcPr>
            <w:tcW w:type="dxa" w:w="2000"/>
            <w:shd w:fill="EEF2F8" w:val="clear"/>
            <w:tcMar>
              <w:top w:type="dxa" w:w="80"/>
              <w:left w:type="dxa" w:w="120"/>
              <w:bottom w:type="dxa" w:w="80"/>
              <w:right w:type="dxa" w:w="120"/>
            </w:tcMar>
          </w:tcPr>
          <w:p>
            <w:r>
              <w:rPr>
                <w:b/>
                <w:bCs/>
                <w:color w:val="111111"/>
                <w:sz w:val="20"/>
                <w:szCs w:val="20"/>
              </w:rPr>
              <w:t xml:space="preserve">Actual Win Rate</w:t>
            </w:r>
          </w:p>
        </w:tc>
        <w:tc>
          <w:tcPr>
            <w:tcW w:type="dxa" w:w="2860"/>
            <w:shd w:fill="EEF2F8" w:val="clear"/>
            <w:tcMar>
              <w:top w:type="dxa" w:w="80"/>
              <w:left w:type="dxa" w:w="120"/>
              <w:bottom w:type="dxa" w:w="80"/>
              <w:right w:type="dxa" w:w="120"/>
            </w:tcMar>
          </w:tcPr>
          <w:p>
            <w:r>
              <w:rPr>
                <w:b/>
                <w:bCs/>
                <w:color w:val="111111"/>
                <w:sz w:val="20"/>
                <w:szCs w:val="20"/>
              </w:rPr>
              <w:t xml:space="preserve">Sample Size</w:t>
            </w:r>
          </w:p>
        </w:tc>
      </w:tr>
      <w:tr>
        <w:tc>
          <w:tcPr>
            <w:tcW w:type="dxa" w:w="2500"/>
            <w:tcMar>
              <w:top w:type="dxa" w:w="80"/>
              <w:left w:type="dxa" w:w="120"/>
              <w:bottom w:type="dxa" w:w="80"/>
              <w:right w:type="dxa" w:w="120"/>
            </w:tcMar>
          </w:tcPr>
          <w:p>
            <w:r>
              <w:rPr>
                <w:b w:val="false"/>
                <w:bCs w:val="false"/>
                <w:color w:val="111111"/>
                <w:sz w:val="20"/>
                <w:szCs w:val="20"/>
              </w:rPr>
              <w:t xml:space="preserve">50–60%</w:t>
            </w:r>
          </w:p>
        </w:tc>
        <w:tc>
          <w:tcPr>
            <w:tcW w:type="dxa" w:w="2000"/>
            <w:tcMar>
              <w:top w:type="dxa" w:w="80"/>
              <w:left w:type="dxa" w:w="120"/>
              <w:bottom w:type="dxa" w:w="80"/>
              <w:right w:type="dxa" w:w="120"/>
            </w:tcMar>
          </w:tcPr>
          <w:p>
            <w:r>
              <w:rPr>
                <w:b w:val="false"/>
                <w:bCs w:val="false"/>
                <w:color w:val="111111"/>
                <w:sz w:val="20"/>
                <w:szCs w:val="20"/>
              </w:rPr>
              <w:t xml:space="preserve">55%</w:t>
            </w:r>
          </w:p>
        </w:tc>
        <w:tc>
          <w:tcPr>
            <w:tcW w:type="dxa" w:w="2000"/>
            <w:tcMar>
              <w:top w:type="dxa" w:w="80"/>
              <w:left w:type="dxa" w:w="120"/>
              <w:bottom w:type="dxa" w:w="80"/>
              <w:right w:type="dxa" w:w="120"/>
            </w:tcMar>
          </w:tcPr>
          <w:p>
            <w:r>
              <w:rPr>
                <w:b w:val="false"/>
                <w:bCs w:val="false"/>
                <w:color w:val="111111"/>
                <w:sz w:val="20"/>
                <w:szCs w:val="20"/>
              </w:rPr>
              <w:t xml:space="preserve">[measured]</w:t>
            </w:r>
          </w:p>
        </w:tc>
        <w:tc>
          <w:tcPr>
            <w:tcW w:type="dxa" w:w="2860"/>
            <w:tcMar>
              <w:top w:type="dxa" w:w="80"/>
              <w:left w:type="dxa" w:w="120"/>
              <w:bottom w:type="dxa" w:w="80"/>
              <w:right w:type="dxa" w:w="120"/>
            </w:tcMar>
          </w:tcPr>
          <w:p>
            <w:r>
              <w:rPr>
                <w:b w:val="false"/>
                <w:bCs w:val="false"/>
                <w:color w:val="111111"/>
                <w:sz w:val="20"/>
                <w:szCs w:val="20"/>
              </w:rPr>
              <w:t xml:space="preserve">N trades</w:t>
            </w:r>
          </w:p>
        </w:tc>
      </w:tr>
      <w:tr>
        <w:tc>
          <w:tcPr>
            <w:tcW w:type="dxa" w:w="2500"/>
            <w:tcMar>
              <w:top w:type="dxa" w:w="80"/>
              <w:left w:type="dxa" w:w="120"/>
              <w:bottom w:type="dxa" w:w="80"/>
              <w:right w:type="dxa" w:w="120"/>
            </w:tcMar>
          </w:tcPr>
          <w:p>
            <w:r>
              <w:rPr>
                <w:b w:val="false"/>
                <w:bCs w:val="false"/>
                <w:color w:val="111111"/>
                <w:sz w:val="20"/>
                <w:szCs w:val="20"/>
              </w:rPr>
              <w:t xml:space="preserve">60–70%</w:t>
            </w:r>
          </w:p>
        </w:tc>
        <w:tc>
          <w:tcPr>
            <w:tcW w:type="dxa" w:w="2000"/>
            <w:tcMar>
              <w:top w:type="dxa" w:w="80"/>
              <w:left w:type="dxa" w:w="120"/>
              <w:bottom w:type="dxa" w:w="80"/>
              <w:right w:type="dxa" w:w="120"/>
            </w:tcMar>
          </w:tcPr>
          <w:p>
            <w:r>
              <w:rPr>
                <w:b w:val="false"/>
                <w:bCs w:val="false"/>
                <w:color w:val="111111"/>
                <w:sz w:val="20"/>
                <w:szCs w:val="20"/>
              </w:rPr>
              <w:t xml:space="preserve">65%</w:t>
            </w:r>
          </w:p>
        </w:tc>
        <w:tc>
          <w:tcPr>
            <w:tcW w:type="dxa" w:w="2000"/>
            <w:tcMar>
              <w:top w:type="dxa" w:w="80"/>
              <w:left w:type="dxa" w:w="120"/>
              <w:bottom w:type="dxa" w:w="80"/>
              <w:right w:type="dxa" w:w="120"/>
            </w:tcMar>
          </w:tcPr>
          <w:p>
            <w:r>
              <w:rPr>
                <w:b w:val="false"/>
                <w:bCs w:val="false"/>
                <w:color w:val="111111"/>
                <w:sz w:val="20"/>
                <w:szCs w:val="20"/>
              </w:rPr>
              <w:t xml:space="preserve">[measured]</w:t>
            </w:r>
          </w:p>
        </w:tc>
        <w:tc>
          <w:tcPr>
            <w:tcW w:type="dxa" w:w="2860"/>
            <w:tcMar>
              <w:top w:type="dxa" w:w="80"/>
              <w:left w:type="dxa" w:w="120"/>
              <w:bottom w:type="dxa" w:w="80"/>
              <w:right w:type="dxa" w:w="120"/>
            </w:tcMar>
          </w:tcPr>
          <w:p>
            <w:r>
              <w:rPr>
                <w:b w:val="false"/>
                <w:bCs w:val="false"/>
                <w:color w:val="111111"/>
                <w:sz w:val="20"/>
                <w:szCs w:val="20"/>
              </w:rPr>
              <w:t xml:space="preserve">N trades</w:t>
            </w:r>
          </w:p>
        </w:tc>
      </w:tr>
      <w:tr>
        <w:tc>
          <w:tcPr>
            <w:tcW w:type="dxa" w:w="2500"/>
            <w:tcMar>
              <w:top w:type="dxa" w:w="80"/>
              <w:left w:type="dxa" w:w="120"/>
              <w:bottom w:type="dxa" w:w="80"/>
              <w:right w:type="dxa" w:w="120"/>
            </w:tcMar>
          </w:tcPr>
          <w:p>
            <w:r>
              <w:rPr>
                <w:b w:val="false"/>
                <w:bCs w:val="false"/>
                <w:color w:val="111111"/>
                <w:sz w:val="20"/>
                <w:szCs w:val="20"/>
              </w:rPr>
              <w:t xml:space="preserve">70–80%</w:t>
            </w:r>
          </w:p>
        </w:tc>
        <w:tc>
          <w:tcPr>
            <w:tcW w:type="dxa" w:w="2000"/>
            <w:tcMar>
              <w:top w:type="dxa" w:w="80"/>
              <w:left w:type="dxa" w:w="120"/>
              <w:bottom w:type="dxa" w:w="80"/>
              <w:right w:type="dxa" w:w="120"/>
            </w:tcMar>
          </w:tcPr>
          <w:p>
            <w:r>
              <w:rPr>
                <w:b w:val="false"/>
                <w:bCs w:val="false"/>
                <w:color w:val="111111"/>
                <w:sz w:val="20"/>
                <w:szCs w:val="20"/>
              </w:rPr>
              <w:t xml:space="preserve">75%</w:t>
            </w:r>
          </w:p>
        </w:tc>
        <w:tc>
          <w:tcPr>
            <w:tcW w:type="dxa" w:w="2000"/>
            <w:tcMar>
              <w:top w:type="dxa" w:w="80"/>
              <w:left w:type="dxa" w:w="120"/>
              <w:bottom w:type="dxa" w:w="80"/>
              <w:right w:type="dxa" w:w="120"/>
            </w:tcMar>
          </w:tcPr>
          <w:p>
            <w:r>
              <w:rPr>
                <w:b w:val="false"/>
                <w:bCs w:val="false"/>
                <w:color w:val="111111"/>
                <w:sz w:val="20"/>
                <w:szCs w:val="20"/>
              </w:rPr>
              <w:t xml:space="preserve">[measured]</w:t>
            </w:r>
          </w:p>
        </w:tc>
        <w:tc>
          <w:tcPr>
            <w:tcW w:type="dxa" w:w="2860"/>
            <w:tcMar>
              <w:top w:type="dxa" w:w="80"/>
              <w:left w:type="dxa" w:w="120"/>
              <w:bottom w:type="dxa" w:w="80"/>
              <w:right w:type="dxa" w:w="120"/>
            </w:tcMar>
          </w:tcPr>
          <w:p>
            <w:r>
              <w:rPr>
                <w:b w:val="false"/>
                <w:bCs w:val="false"/>
                <w:color w:val="111111"/>
                <w:sz w:val="20"/>
                <w:szCs w:val="20"/>
              </w:rPr>
              <w:t xml:space="preserve">N trades</w:t>
            </w:r>
          </w:p>
        </w:tc>
      </w:tr>
      <w:tr>
        <w:tc>
          <w:tcPr>
            <w:tcW w:type="dxa" w:w="2500"/>
            <w:tcMar>
              <w:top w:type="dxa" w:w="80"/>
              <w:left w:type="dxa" w:w="120"/>
              <w:bottom w:type="dxa" w:w="80"/>
              <w:right w:type="dxa" w:w="120"/>
            </w:tcMar>
          </w:tcPr>
          <w:p>
            <w:r>
              <w:rPr>
                <w:b w:val="false"/>
                <w:bCs w:val="false"/>
                <w:color w:val="111111"/>
                <w:sz w:val="20"/>
                <w:szCs w:val="20"/>
              </w:rPr>
              <w:t xml:space="preserve">80–90%</w:t>
            </w:r>
          </w:p>
        </w:tc>
        <w:tc>
          <w:tcPr>
            <w:tcW w:type="dxa" w:w="2000"/>
            <w:tcMar>
              <w:top w:type="dxa" w:w="80"/>
              <w:left w:type="dxa" w:w="120"/>
              <w:bottom w:type="dxa" w:w="80"/>
              <w:right w:type="dxa" w:w="120"/>
            </w:tcMar>
          </w:tcPr>
          <w:p>
            <w:r>
              <w:rPr>
                <w:b w:val="false"/>
                <w:bCs w:val="false"/>
                <w:color w:val="111111"/>
                <w:sz w:val="20"/>
                <w:szCs w:val="20"/>
              </w:rPr>
              <w:t xml:space="preserve">85%</w:t>
            </w:r>
          </w:p>
        </w:tc>
        <w:tc>
          <w:tcPr>
            <w:tcW w:type="dxa" w:w="2000"/>
            <w:tcMar>
              <w:top w:type="dxa" w:w="80"/>
              <w:left w:type="dxa" w:w="120"/>
              <w:bottom w:type="dxa" w:w="80"/>
              <w:right w:type="dxa" w:w="120"/>
            </w:tcMar>
          </w:tcPr>
          <w:p>
            <w:r>
              <w:rPr>
                <w:b w:val="false"/>
                <w:bCs w:val="false"/>
                <w:color w:val="111111"/>
                <w:sz w:val="20"/>
                <w:szCs w:val="20"/>
              </w:rPr>
              <w:t xml:space="preserve">[measured]</w:t>
            </w:r>
          </w:p>
        </w:tc>
        <w:tc>
          <w:tcPr>
            <w:tcW w:type="dxa" w:w="2860"/>
            <w:tcMar>
              <w:top w:type="dxa" w:w="80"/>
              <w:left w:type="dxa" w:w="120"/>
              <w:bottom w:type="dxa" w:w="80"/>
              <w:right w:type="dxa" w:w="120"/>
            </w:tcMar>
          </w:tcPr>
          <w:p>
            <w:r>
              <w:rPr>
                <w:b w:val="false"/>
                <w:bCs w:val="false"/>
                <w:color w:val="111111"/>
                <w:sz w:val="20"/>
                <w:szCs w:val="20"/>
              </w:rPr>
              <w:t xml:space="preserve">N trades</w:t>
            </w:r>
          </w:p>
        </w:tc>
      </w:tr>
      <w:tr>
        <w:tc>
          <w:tcPr>
            <w:tcW w:type="dxa" w:w="2500"/>
            <w:tcMar>
              <w:top w:type="dxa" w:w="80"/>
              <w:left w:type="dxa" w:w="120"/>
              <w:bottom w:type="dxa" w:w="80"/>
              <w:right w:type="dxa" w:w="120"/>
            </w:tcMar>
          </w:tcPr>
          <w:p>
            <w:r>
              <w:rPr>
                <w:b w:val="false"/>
                <w:bCs w:val="false"/>
                <w:color w:val="111111"/>
                <w:sz w:val="20"/>
                <w:szCs w:val="20"/>
              </w:rPr>
              <w:t xml:space="preserve">90%+</w:t>
            </w:r>
          </w:p>
        </w:tc>
        <w:tc>
          <w:tcPr>
            <w:tcW w:type="dxa" w:w="2000"/>
            <w:tcMar>
              <w:top w:type="dxa" w:w="80"/>
              <w:left w:type="dxa" w:w="120"/>
              <w:bottom w:type="dxa" w:w="80"/>
              <w:right w:type="dxa" w:w="120"/>
            </w:tcMar>
          </w:tcPr>
          <w:p>
            <w:r>
              <w:rPr>
                <w:b w:val="false"/>
                <w:bCs w:val="false"/>
                <w:color w:val="111111"/>
                <w:sz w:val="20"/>
                <w:szCs w:val="20"/>
              </w:rPr>
              <w:t xml:space="preserve">92%</w:t>
            </w:r>
          </w:p>
        </w:tc>
        <w:tc>
          <w:tcPr>
            <w:tcW w:type="dxa" w:w="2000"/>
            <w:tcMar>
              <w:top w:type="dxa" w:w="80"/>
              <w:left w:type="dxa" w:w="120"/>
              <w:bottom w:type="dxa" w:w="80"/>
              <w:right w:type="dxa" w:w="120"/>
            </w:tcMar>
          </w:tcPr>
          <w:p>
            <w:r>
              <w:rPr>
                <w:b w:val="false"/>
                <w:bCs w:val="false"/>
                <w:color w:val="111111"/>
                <w:sz w:val="20"/>
                <w:szCs w:val="20"/>
              </w:rPr>
              <w:t xml:space="preserve">[measured]</w:t>
            </w:r>
          </w:p>
        </w:tc>
        <w:tc>
          <w:tcPr>
            <w:tcW w:type="dxa" w:w="2860"/>
            <w:tcMar>
              <w:top w:type="dxa" w:w="80"/>
              <w:left w:type="dxa" w:w="120"/>
              <w:bottom w:type="dxa" w:w="80"/>
              <w:right w:type="dxa" w:w="120"/>
            </w:tcMar>
          </w:tcPr>
          <w:p>
            <w:r>
              <w:rPr>
                <w:b w:val="false"/>
                <w:bCs w:val="false"/>
                <w:color w:val="111111"/>
                <w:sz w:val="20"/>
                <w:szCs w:val="20"/>
              </w:rPr>
              <w:t xml:space="preserve">N trades</w:t>
            </w:r>
          </w:p>
        </w:tc>
      </w:tr>
    </w:tbl>
    <w:p>
      <w:pPr>
        <w:spacing w:after="80" w:before="60"/>
      </w:pPr>
      <w:r>
        <w:rPr>
          <w:color w:val="111111"/>
          <w:sz w:val="20"/>
          <w:szCs w:val="20"/>
        </w:rPr>
        <w:t xml:space="preserve">This table, once populated, is vastly more credible than '82% winners.' It shows whether VEGA's stated probability is calibrated — whether its 84% calls actually win 84% of the time. This is the Brier score Murphy decomposition surfaced in the UI.</w:t>
      </w:r>
    </w:p>
    <w:p>
      <w:pPr>
        <w:spacing w:after="80" w:before="60"/>
      </w:pPr>
      <w:r>
        <w:rPr>
          <w:color w:val="111111"/>
          <w:sz w:val="20"/>
          <w:szCs w:val="20"/>
        </w:rPr>
        <w:t xml:space="preserve">Current status: gated on sufficient resolved predictions. The infrastructure (Brier scoring) is in place. The UI design for this table should be specced now so it is ready when data arrives (~2026-08-23 for first resolutions).</w:t>
      </w:r>
    </w:p>
    <w:p>
      <w:pPr>
        <w:spacing w:after="40" w:before="40"/>
      </w:pPr>
    </w:p>
    <w:p>
      <w:pPr>
        <w:pStyle w:val="Heading2"/>
        <w:spacing w:after="80" w:before="260"/>
      </w:pPr>
      <w:r>
        <w:rPr>
          <w:b/>
          <w:bCs/>
          <w:color w:val="111111"/>
          <w:sz w:val="26"/>
          <w:szCs w:val="26"/>
        </w:rPr>
        <w:t xml:space="preserve">A5-4  Navigation restructure  [GPT-4o recommendation — evaluate for next sprint]</w:t>
      </w:r>
    </w:p>
    <w:p>
      <w:pPr>
        <w:spacing w:after="80" w:before="60"/>
      </w:pPr>
      <w:r>
        <w:rPr>
          <w:color w:val="111111"/>
          <w:sz w:val="20"/>
          <w:szCs w:val="20"/>
        </w:rPr>
        <w:t xml:space="preserve">GPT-4o recommends a simplified nav eventually:</w:t>
      </w:r>
    </w:p>
    <w:p>
      <w:pPr>
        <w:spacing w:after="36" w:before="36"/>
        <w:ind w:left="480"/>
      </w:pPr>
      <w:r>
        <w:rPr>
          <w:sz w:val="20"/>
          <w:szCs w:val="20"/>
        </w:rPr>
        <w:t xml:space="preserve">•  TODAY — current opportunities</w:t>
      </w:r>
    </w:p>
    <w:p>
      <w:pPr>
        <w:spacing w:after="36" w:before="36"/>
        <w:ind w:left="480"/>
      </w:pPr>
      <w:r>
        <w:rPr>
          <w:sz w:val="20"/>
          <w:szCs w:val="20"/>
        </w:rPr>
        <w:t xml:space="preserve">•  SCAN — full opportunity universe</w:t>
      </w:r>
    </w:p>
    <w:p>
      <w:pPr>
        <w:spacing w:after="36" w:before="36"/>
        <w:ind w:left="480"/>
      </w:pPr>
      <w:r>
        <w:rPr>
          <w:sz w:val="20"/>
          <w:szCs w:val="20"/>
        </w:rPr>
        <w:t xml:space="preserve">•  TRACK RECORD — does VEGA work?</w:t>
      </w:r>
    </w:p>
    <w:p>
      <w:pPr>
        <w:spacing w:after="36" w:before="36"/>
        <w:ind w:left="480"/>
      </w:pPr>
      <w:r>
        <w:rPr>
          <w:sz w:val="20"/>
          <w:szCs w:val="20"/>
        </w:rPr>
        <w:t xml:space="preserve">•  HISTORY — past opportunities / trades</w:t>
      </w:r>
    </w:p>
    <w:p>
      <w:pPr>
        <w:spacing w:after="36" w:before="36"/>
        <w:ind w:left="480"/>
      </w:pPr>
      <w:r>
        <w:rPr>
          <w:sz w:val="20"/>
          <w:szCs w:val="20"/>
        </w:rPr>
        <w:t xml:space="preserve">•  RESEARCH — BTC and experimental models</w:t>
      </w:r>
    </w:p>
    <w:p>
      <w:pPr>
        <w:spacing w:after="80" w:before="60"/>
      </w:pPr>
      <w:r>
        <w:rPr>
          <w:color w:val="111111"/>
          <w:sz w:val="20"/>
          <w:szCs w:val="20"/>
        </w:rPr>
        <w:t xml:space="preserve">This is directionally correct. Implement after the current views are stabilized. The key structural move: make Track Record a primary nav item, not buried. VEGA's long-term credibility depends on that tab being found.</w:t>
      </w:r>
    </w:p>
    <w:p>
      <w:pPr>
        <w:spacing w:after="40" w:before="40"/>
      </w:pPr>
    </w:p>
    <w:p>
      <w:pPr>
        <w:pBdr>
          <w:bottom w:val="single" w:color="1F3A7A" w:sz="8"/>
        </w:pBdr>
        <w:spacing w:after="200" w:before="200"/>
      </w:pPr>
    </w:p>
    <w:p>
      <w:pPr>
        <w:spacing w:after="120" w:before="200"/>
      </w:pPr>
      <w:r>
        <w:rPr>
          <w:b/>
          <w:bCs/>
          <w:color w:val="1F3A7A"/>
          <w:sz w:val="40"/>
          <w:szCs w:val="40"/>
        </w:rPr>
        <w:t xml:space="preserve">PART B — Code / Architecture Items</w:t>
      </w:r>
    </w:p>
    <w:p>
      <w:pPr>
        <w:spacing w:after="80" w:before="60"/>
      </w:pPr>
      <w:r>
        <w:rPr>
          <w:color w:val="111111"/>
          <w:sz w:val="20"/>
          <w:szCs w:val="20"/>
        </w:rPr>
        <w:t xml:space="preserve">All Part B items require code changes. Run test suite after each P-level before proceeding to the next.</w:t>
      </w:r>
    </w:p>
    <w:p>
      <w:pPr>
        <w:spacing w:after="40" w:before="40"/>
      </w:pPr>
    </w:p>
    <w:p>
      <w:pPr>
        <w:pStyle w:val="Heading1"/>
        <w:spacing w:after="120" w:before="400"/>
      </w:pPr>
      <w:r>
        <w:rPr>
          <w:b/>
          <w:bCs/>
          <w:color w:val="1F3A7A"/>
          <w:sz w:val="34"/>
          <w:szCs w:val="34"/>
        </w:rPr>
        <w:t xml:space="preserve">P0 — Verify Sprint 1 Correctness  [GATES ALL LEARNING]</w:t>
      </w:r>
    </w:p>
    <w:p>
      <w:pPr>
        <w:spacing w:after="40" w:before="40"/>
      </w:pPr>
    </w:p>
    <w:p>
      <w:pPr>
        <w:pStyle w:val="Heading2"/>
        <w:spacing w:after="80" w:before="260"/>
      </w:pPr>
      <w:r>
        <w:rPr>
          <w:b/>
          <w:bCs/>
          <w:color w:val="111111"/>
          <w:sz w:val="26"/>
          <w:szCs w:val="26"/>
        </w:rPr>
        <w:t xml:space="preserve">P0-A  Wire edge_score into _candidate_score()</w:t>
      </w:r>
    </w:p>
    <w:p>
      <w:pPr>
        <w:spacing w:after="60" w:before="60"/>
      </w:pPr>
      <w:r>
        <w:rPr>
          <w:b/>
          <w:bCs/>
          <w:color w:val="B35900"/>
          <w:sz w:val="20"/>
          <w:szCs w:val="20"/>
        </w:rPr>
        <w:t xml:space="preserve">[Target]  </w:t>
      </w:r>
      <w:r>
        <w:rPr>
          <w:i/>
          <w:iCs/>
          <w:sz w:val="20"/>
          <w:szCs w:val="20"/>
        </w:rPr>
        <w:t xml:space="preserve">auto_paper_cycle.py → _candidate_score()</w:t>
      </w:r>
    </w:p>
    <w:p>
      <w:pPr>
        <w:spacing w:after="80" w:before="60"/>
      </w:pPr>
      <w:r>
        <w:rPr>
          <w:color w:val="111111"/>
          <w:sz w:val="20"/>
          <w:szCs w:val="20"/>
        </w:rPr>
        <w:t xml:space="preserve">STATUS CHECK: Search _candidate_score() for 'edge_score'. If absent, function still ranks by gate completeness + implied POP. Fix:</w:t>
      </w:r>
    </w:p>
    <w:p>
      <w:pPr>
        <w:shd w:fill="F2F2F2" w:val="clear"/>
        <w:spacing w:after="16" w:before="16"/>
        <w:ind w:left="720"/>
      </w:pPr>
      <w:r>
        <w:rPr>
          <w:rFonts w:ascii="Courier New" w:cs="Courier New" w:eastAsia="Courier New" w:hAnsi="Courier New"/>
          <w:sz w:val="18"/>
          <w:szCs w:val="18"/>
        </w:rPr>
        <w:t xml:space="preserve">def _candidate_score(c: Dict) -&gt; float:</w:t>
      </w:r>
    </w:p>
    <w:p>
      <w:pPr>
        <w:shd w:fill="F2F2F2" w:val="clear"/>
        <w:spacing w:after="16" w:before="16"/>
        <w:ind w:left="720"/>
      </w:pPr>
      <w:r>
        <w:rPr>
          <w:rFonts w:ascii="Courier New" w:cs="Courier New" w:eastAsia="Courier New" w:hAnsi="Courier New"/>
          <w:sz w:val="18"/>
          <w:szCs w:val="18"/>
        </w:rPr>
        <w:t xml:space="preserve">    q        = (float(c.get('gates_passed') or 0)) / (float(c.get('gates_total') or 8) or 1)</w:t>
      </w:r>
    </w:p>
    <w:p>
      <w:pPr>
        <w:shd w:fill="F2F2F2" w:val="clear"/>
        <w:spacing w:after="16" w:before="16"/>
        <w:ind w:left="720"/>
      </w:pPr>
      <w:r>
        <w:rPr>
          <w:rFonts w:ascii="Courier New" w:cs="Courier New" w:eastAsia="Courier New" w:hAnsi="Courier New"/>
          <w:sz w:val="18"/>
          <w:szCs w:val="18"/>
        </w:rPr>
        <w:t xml:space="preserve">    edge     = float(c.get('edge_score') or 0.0)</w:t>
      </w:r>
    </w:p>
    <w:p>
      <w:pPr>
        <w:shd w:fill="F2F2F2" w:val="clear"/>
        <w:spacing w:after="16" w:before="16"/>
        <w:ind w:left="720"/>
      </w:pPr>
      <w:r>
        <w:rPr>
          <w:rFonts w:ascii="Courier New" w:cs="Courier New" w:eastAsia="Courier New" w:hAnsi="Courier New"/>
          <w:sz w:val="18"/>
          <w:szCs w:val="18"/>
        </w:rPr>
        <w:t xml:space="preserve">    true_pop = float(c.get('true_pop') or c.get('pop_implied') or 0.0)</w:t>
      </w:r>
    </w:p>
    <w:p>
      <w:pPr>
        <w:shd w:fill="F2F2F2" w:val="clear"/>
        <w:spacing w:after="16" w:before="16"/>
        <w:ind w:left="720"/>
      </w:pPr>
      <w:r>
        <w:rPr>
          <w:rFonts w:ascii="Courier New" w:cs="Courier New" w:eastAsia="Courier New" w:hAnsi="Courier New"/>
          <w:sz w:val="18"/>
          <w:szCs w:val="18"/>
        </w:rPr>
        <w:t xml:space="preserve">    roi      = float(c.get('roi') or 0.0)</w:t>
      </w:r>
    </w:p>
    <w:p>
      <w:pPr>
        <w:shd w:fill="F2F2F2" w:val="clear"/>
        <w:spacing w:after="16" w:before="16"/>
        <w:ind w:left="720"/>
      </w:pPr>
      <w:r>
        <w:rPr>
          <w:rFonts w:ascii="Courier New" w:cs="Courier New" w:eastAsia="Courier New" w:hAnsi="Courier New"/>
          <w:sz w:val="18"/>
          <w:szCs w:val="18"/>
        </w:rPr>
        <w:t xml:space="preserve">    delta_pen= abs(abs(float(c.get('short_delta') or 0.0)) - float(getattr(config,'SHORT_STRIKE_TARGET_DELTA',0.20)))</w:t>
      </w:r>
    </w:p>
    <w:p>
      <w:pPr>
        <w:shd w:fill="F2F2F2" w:val="clear"/>
        <w:spacing w:after="16" w:before="16"/>
        <w:ind w:left="720"/>
      </w:pPr>
      <w:r>
        <w:rPr>
          <w:rFonts w:ascii="Courier New" w:cs="Courier New" w:eastAsia="Courier New" w:hAnsi="Courier New"/>
          <w:sz w:val="18"/>
          <w:szCs w:val="18"/>
        </w:rPr>
        <w:t xml:space="preserve">    return (edge * 50.0) + (q * 30.0) + (true_pop * 20.0) + (roi * 10.0) - (delta_pen * 40.0)</w:t>
      </w:r>
    </w:p>
    <w:p>
      <w:pPr>
        <w:spacing w:after="60" w:before="40"/>
      </w:pPr>
      <w:r>
        <w:rPr>
          <w:i/>
          <w:iCs/>
          <w:color w:val="B35900"/>
          <w:sz w:val="19"/>
          <w:szCs w:val="19"/>
        </w:rPr>
        <w:t xml:space="preserve">⚠  Weights are a starting point. Critical: edge_score leads, true_pop replaces pop_implied.</w:t>
      </w:r>
    </w:p>
    <w:p>
      <w:pPr>
        <w:spacing w:after="40" w:before="40"/>
      </w:pPr>
    </w:p>
    <w:p>
      <w:pPr>
        <w:pStyle w:val="Heading2"/>
        <w:spacing w:after="80" w:before="260"/>
      </w:pPr>
      <w:r>
        <w:rPr>
          <w:b/>
          <w:bCs/>
          <w:color w:val="111111"/>
          <w:sz w:val="26"/>
          <w:szCs w:val="26"/>
        </w:rPr>
        <w:t xml:space="preserve">P0-B  Fix earnings_clear() to fail closed on unknown data</w:t>
      </w:r>
    </w:p>
    <w:p>
      <w:pPr>
        <w:spacing w:after="60" w:before="60"/>
      </w:pPr>
      <w:r>
        <w:rPr>
          <w:b/>
          <w:bCs/>
          <w:color w:val="B35900"/>
          <w:sz w:val="20"/>
          <w:szCs w:val="20"/>
        </w:rPr>
        <w:t xml:space="preserve">[Target]  </w:t>
      </w:r>
      <w:r>
        <w:rPr>
          <w:i/>
          <w:iCs/>
          <w:sz w:val="20"/>
          <w:szCs w:val="20"/>
        </w:rPr>
        <w:t xml:space="preserve">analysis/assessment.py → _earnings_clear()</w:t>
      </w:r>
    </w:p>
    <w:p>
      <w:pPr>
        <w:spacing w:after="80" w:before="60"/>
      </w:pPr>
      <w:r>
        <w:rPr>
          <w:color w:val="111111"/>
          <w:sz w:val="20"/>
          <w:szCs w:val="20"/>
        </w:rPr>
        <w:t xml:space="preserve">Add DECLARED short-circuit first for no-earnings tickers (IBIT, TLT, SPY, QQQ, IWM, GLD, GDX):</w:t>
      </w:r>
    </w:p>
    <w:p>
      <w:pPr>
        <w:shd w:fill="F2F2F2" w:val="clear"/>
        <w:spacing w:after="16" w:before="16"/>
        <w:ind w:left="720"/>
      </w:pPr>
      <w:r>
        <w:rPr>
          <w:rFonts w:ascii="Courier New" w:cs="Courier New" w:eastAsia="Courier New" w:hAnsi="Courier New"/>
          <w:sz w:val="18"/>
          <w:szCs w:val="18"/>
        </w:rPr>
        <w:t xml:space="preserve">if not profile.get('DECLARED',{}).get('has_earnings', True): return True</w:t>
      </w:r>
    </w:p>
    <w:p>
      <w:pPr>
        <w:spacing w:after="80" w:before="60"/>
      </w:pPr>
      <w:r>
        <w:rPr>
          <w:color w:val="111111"/>
          <w:sz w:val="20"/>
          <w:szCs w:val="20"/>
        </w:rPr>
        <w:t xml:space="preserve">Then change None branch: return False instead of True.</w:t>
      </w:r>
    </w:p>
    <w:p>
      <w:pPr>
        <w:spacing w:after="40" w:before="40"/>
      </w:pPr>
    </w:p>
    <w:p>
      <w:pPr>
        <w:pBdr>
          <w:bottom w:val="single" w:color="1F3A7A" w:sz="8"/>
        </w:pBdr>
        <w:spacing w:after="200" w:before="200"/>
      </w:pPr>
    </w:p>
    <w:p>
      <w:pPr>
        <w:pStyle w:val="Heading1"/>
        <w:spacing w:after="120" w:before="400"/>
      </w:pPr>
      <w:r>
        <w:rPr>
          <w:b/>
          <w:bCs/>
          <w:color w:val="1F3A7A"/>
          <w:sz w:val="34"/>
          <w:szCs w:val="34"/>
        </w:rPr>
        <w:t xml:space="preserve">P1 — Pattern Direction Tags + pop_gap / VEGA POP backend</w:t>
      </w:r>
    </w:p>
    <w:p>
      <w:pPr>
        <w:spacing w:after="40" w:before="40"/>
      </w:pPr>
    </w:p>
    <w:p>
      <w:pPr>
        <w:pStyle w:val="Heading2"/>
        <w:spacing w:after="80" w:before="260"/>
      </w:pPr>
      <w:r>
        <w:rPr>
          <w:b/>
          <w:bCs/>
          <w:color w:val="111111"/>
          <w:sz w:val="26"/>
          <w:szCs w:val="26"/>
        </w:rPr>
        <w:t xml:space="preserve">P1-1  Add pop_gap field to candidate output</w:t>
      </w:r>
    </w:p>
    <w:p>
      <w:pPr>
        <w:spacing w:after="60" w:before="60"/>
      </w:pPr>
      <w:r>
        <w:rPr>
          <w:b/>
          <w:bCs/>
          <w:color w:val="B35900"/>
          <w:sz w:val="20"/>
          <w:szCs w:val="20"/>
        </w:rPr>
        <w:t xml:space="preserve">[Target]  </w:t>
      </w:r>
      <w:r>
        <w:rPr>
          <w:i/>
          <w:iCs/>
          <w:sz w:val="20"/>
          <w:szCs w:val="20"/>
        </w:rPr>
        <w:t xml:space="preserve">vega_candidates.py + analysis/outcome_logger.py</w:t>
      </w:r>
    </w:p>
    <w:p>
      <w:pPr>
        <w:spacing w:after="80" w:before="60"/>
      </w:pPr>
      <w:r>
        <w:rPr>
          <w:color w:val="111111"/>
          <w:sz w:val="20"/>
          <w:szCs w:val="20"/>
        </w:rPr>
        <w:t xml:space="preserve">The VEGA POP vs. Market POP dual display (A2-4) requires pop_gap = true_pop - pop_implied on every candidate. This field was planned in prior briefs — confirm it is being computed and threaded through to the UI.</w:t>
      </w:r>
    </w:p>
    <w:p>
      <w:pPr>
        <w:shd w:fill="F2F2F2" w:val="clear"/>
        <w:spacing w:after="16" w:before="16"/>
        <w:ind w:left="720"/>
      </w:pPr>
      <w:r>
        <w:rPr>
          <w:rFonts w:ascii="Courier New" w:cs="Courier New" w:eastAsia="Courier New" w:hAnsi="Courier New"/>
          <w:sz w:val="18"/>
          <w:szCs w:val="18"/>
        </w:rPr>
        <w:t xml:space="preserve">pop_gap = round(true_pop - pop_implied, 4)  # positive = VEGA sees more edge than market</w:t>
      </w:r>
    </w:p>
    <w:p>
      <w:pPr>
        <w:spacing w:after="40" w:before="40"/>
      </w:pPr>
    </w:p>
    <w:p>
      <w:pPr>
        <w:pStyle w:val="Heading2"/>
        <w:spacing w:after="80" w:before="260"/>
      </w:pPr>
      <w:r>
        <w:rPr>
          <w:b/>
          <w:bCs/>
          <w:color w:val="111111"/>
          <w:sz w:val="26"/>
          <w:szCs w:val="26"/>
        </w:rPr>
        <w:t xml:space="preserve">P1-2  Add opportunity density funnel to scan output</w:t>
      </w:r>
    </w:p>
    <w:p>
      <w:pPr>
        <w:spacing w:after="60" w:before="60"/>
      </w:pPr>
      <w:r>
        <w:rPr>
          <w:b/>
          <w:bCs/>
          <w:color w:val="B35900"/>
          <w:sz w:val="20"/>
          <w:szCs w:val="20"/>
        </w:rPr>
        <w:t xml:space="preserve">[Target]  </w:t>
      </w:r>
      <w:r>
        <w:rPr>
          <w:i/>
          <w:iCs/>
          <w:sz w:val="20"/>
          <w:szCs w:val="20"/>
        </w:rPr>
        <w:t xml:space="preserve">vega_status.py + auto_paper_cycle.py or main scanner</w:t>
      </w:r>
    </w:p>
    <w:p>
      <w:pPr>
        <w:spacing w:after="80" w:before="60"/>
      </w:pPr>
      <w:r>
        <w:rPr>
          <w:color w:val="111111"/>
          <w:sz w:val="20"/>
          <w:szCs w:val="20"/>
        </w:rPr>
        <w:t xml:space="preserve">The scan loop must emit a summary dict:</w:t>
      </w:r>
    </w:p>
    <w:p>
      <w:pPr>
        <w:shd w:fill="F2F2F2" w:val="clear"/>
        <w:spacing w:after="16" w:before="16"/>
        <w:ind w:left="720"/>
      </w:pPr>
      <w:r>
        <w:rPr>
          <w:rFonts w:ascii="Courier New" w:cs="Courier New" w:eastAsia="Courier New" w:hAnsi="Courier New"/>
          <w:sz w:val="18"/>
          <w:szCs w:val="18"/>
        </w:rPr>
        <w:t xml:space="preserve">scan_summary = {</w:t>
      </w:r>
    </w:p>
    <w:p>
      <w:pPr>
        <w:shd w:fill="F2F2F2" w:val="clear"/>
        <w:spacing w:after="16" w:before="16"/>
        <w:ind w:left="720"/>
      </w:pPr>
      <w:r>
        <w:rPr>
          <w:rFonts w:ascii="Courier New" w:cs="Courier New" w:eastAsia="Courier New" w:hAnsi="Courier New"/>
          <w:sz w:val="18"/>
          <w:szCs w:val="18"/>
        </w:rPr>
        <w:t xml:space="preserve">    'total_scanned':    N,   # all structures evaluated</w:t>
      </w:r>
    </w:p>
    <w:p>
      <w:pPr>
        <w:shd w:fill="F2F2F2" w:val="clear"/>
        <w:spacing w:after="16" w:before="16"/>
        <w:ind w:left="720"/>
      </w:pPr>
      <w:r>
        <w:rPr>
          <w:rFonts w:ascii="Courier New" w:cs="Courier New" w:eastAsia="Courier New" w:hAnsi="Courier New"/>
          <w:sz w:val="18"/>
          <w:szCs w:val="18"/>
        </w:rPr>
        <w:t xml:space="preserve">    'total_qualified':  N,   # passed all gates</w:t>
      </w:r>
    </w:p>
    <w:p>
      <w:pPr>
        <w:shd w:fill="F2F2F2" w:val="clear"/>
        <w:spacing w:after="16" w:before="16"/>
        <w:ind w:left="720"/>
      </w:pPr>
      <w:r>
        <w:rPr>
          <w:rFonts w:ascii="Courier New" w:cs="Courier New" w:eastAsia="Courier New" w:hAnsi="Courier New"/>
          <w:sz w:val="18"/>
          <w:szCs w:val="18"/>
        </w:rPr>
        <w:t xml:space="preserve">    'high_edge_count':  N,   # edge_score &gt;= 65</w:t>
      </w:r>
    </w:p>
    <w:p>
      <w:pPr>
        <w:shd w:fill="F2F2F2" w:val="clear"/>
        <w:spacing w:after="16" w:before="16"/>
        <w:ind w:left="720"/>
      </w:pPr>
      <w:r>
        <w:rPr>
          <w:rFonts w:ascii="Courier New" w:cs="Courier New" w:eastAsia="Courier New" w:hAnsi="Courier New"/>
          <w:sz w:val="18"/>
          <w:szCs w:val="18"/>
        </w:rPr>
        <w:t xml:space="preserve">    'exceptional_count':N,   # edge_score &gt;= 80</w:t>
      </w:r>
    </w:p>
    <w:p>
      <w:pPr>
        <w:shd w:fill="F2F2F2" w:val="clear"/>
        <w:spacing w:after="16" w:before="16"/>
        <w:ind w:left="720"/>
      </w:pPr>
      <w:r>
        <w:rPr>
          <w:rFonts w:ascii="Courier New" w:cs="Courier New" w:eastAsia="Courier New" w:hAnsi="Courier New"/>
          <w:sz w:val="18"/>
          <w:szCs w:val="18"/>
        </w:rPr>
        <w:t xml:space="preserve">}</w:t>
      </w:r>
    </w:p>
    <w:p>
      <w:pPr>
        <w:spacing w:after="80" w:before="60"/>
      </w:pPr>
      <w:r>
        <w:rPr>
          <w:color w:val="111111"/>
          <w:sz w:val="20"/>
          <w:szCs w:val="20"/>
        </w:rPr>
        <w:t xml:space="preserve">Surface in vega_status output and render in the Today view scan summary bar (A2-2).</w:t>
      </w:r>
    </w:p>
    <w:p>
      <w:pPr>
        <w:spacing w:after="40" w:before="40"/>
      </w:pPr>
    </w:p>
    <w:p>
      <w:pPr>
        <w:pStyle w:val="Heading2"/>
        <w:spacing w:after="80" w:before="260"/>
      </w:pPr>
      <w:r>
        <w:rPr>
          <w:b/>
          <w:bCs/>
          <w:color w:val="111111"/>
          <w:sz w:val="26"/>
          <w:szCs w:val="26"/>
        </w:rPr>
        <w:t xml:space="preserve">P1-3  Update regime classification for Stand Aside semantics</w:t>
      </w:r>
    </w:p>
    <w:p>
      <w:pPr>
        <w:spacing w:after="60" w:before="60"/>
      </w:pPr>
      <w:r>
        <w:rPr>
          <w:b/>
          <w:bCs/>
          <w:color w:val="B35900"/>
          <w:sz w:val="20"/>
          <w:szCs w:val="20"/>
        </w:rPr>
        <w:t xml:space="preserve">[Target]  </w:t>
      </w:r>
      <w:r>
        <w:rPr>
          <w:i/>
          <w:iCs/>
          <w:sz w:val="20"/>
          <w:szCs w:val="20"/>
        </w:rPr>
        <w:t xml:space="preserve">vega_status.py → regime or today's call classification</w:t>
      </w:r>
    </w:p>
    <w:p>
      <w:pPr>
        <w:spacing w:after="80" w:before="60"/>
      </w:pPr>
      <w:r>
        <w:rPr>
          <w:color w:val="111111"/>
          <w:sz w:val="20"/>
          <w:szCs w:val="20"/>
        </w:rPr>
        <w:t xml:space="preserve">Extend the regime classifier to emit STAND_ASIDE / SELECTIVE / CAUTIOUS / FAVORABLE based on qualified_count and VRP thresholds per the table in A2-1. The existing STAND_ASIDE logic fires on VRP condition — add qualified_count == 0 as a separate, sufficient condition for STAND_ASIDE.</w:t>
      </w:r>
    </w:p>
    <w:p>
      <w:pPr>
        <w:spacing w:after="40" w:before="40"/>
      </w:pPr>
    </w:p>
    <w:p>
      <w:pPr>
        <w:pStyle w:val="Heading2"/>
        <w:spacing w:after="80" w:before="260"/>
      </w:pPr>
      <w:r>
        <w:rPr>
          <w:b/>
          <w:bCs/>
          <w:color w:val="111111"/>
          <w:sz w:val="26"/>
          <w:szCs w:val="26"/>
        </w:rPr>
        <w:t xml:space="preserve">P1-4  Add PATTERN_DIRECTION mapping and contradiction check</w:t>
      </w:r>
    </w:p>
    <w:p>
      <w:pPr>
        <w:spacing w:after="60" w:before="60"/>
      </w:pPr>
      <w:r>
        <w:rPr>
          <w:b/>
          <w:bCs/>
          <w:color w:val="B35900"/>
          <w:sz w:val="20"/>
          <w:szCs w:val="20"/>
        </w:rPr>
        <w:t xml:space="preserve">[Target]  </w:t>
      </w:r>
      <w:r>
        <w:rPr>
          <w:i/>
          <w:iCs/>
          <w:sz w:val="20"/>
          <w:szCs w:val="20"/>
        </w:rPr>
        <w:t xml:space="preserve">analysis/technical_score.py + analysis/assessment.py + vega_app.py</w:t>
      </w:r>
    </w:p>
    <w:p>
      <w:pPr>
        <w:shd w:fill="F2F2F2" w:val="clear"/>
        <w:spacing w:after="16" w:before="16"/>
        <w:ind w:left="720"/>
      </w:pPr>
      <w:r>
        <w:rPr>
          <w:rFonts w:ascii="Courier New" w:cs="Courier New" w:eastAsia="Courier New" w:hAnsi="Courier New"/>
          <w:sz w:val="18"/>
          <w:szCs w:val="18"/>
        </w:rPr>
        <w:t xml:space="preserve">PATTERN_DIRECTION = {</w:t>
      </w:r>
    </w:p>
    <w:p>
      <w:pPr>
        <w:shd w:fill="F2F2F2" w:val="clear"/>
        <w:spacing w:after="16" w:before="16"/>
        <w:ind w:left="720"/>
      </w:pPr>
      <w:r>
        <w:rPr>
          <w:rFonts w:ascii="Courier New" w:cs="Courier New" w:eastAsia="Courier New" w:hAnsi="Courier New"/>
          <w:sz w:val="18"/>
          <w:szCs w:val="18"/>
        </w:rPr>
        <w:t xml:space="preserve">    'double bottom':'BULLISH', 'inverse head and shoulders':'BULLISH',</w:t>
      </w:r>
    </w:p>
    <w:p>
      <w:pPr>
        <w:shd w:fill="F2F2F2" w:val="clear"/>
        <w:spacing w:after="16" w:before="16"/>
        <w:ind w:left="720"/>
      </w:pPr>
      <w:r>
        <w:rPr>
          <w:rFonts w:ascii="Courier New" w:cs="Courier New" w:eastAsia="Courier New" w:hAnsi="Courier New"/>
          <w:sz w:val="18"/>
          <w:szCs w:val="18"/>
        </w:rPr>
        <w:t xml:space="preserve">    'cup and handle':'BULLISH', 'bull flag':'BULLISH',</w:t>
      </w:r>
    </w:p>
    <w:p>
      <w:pPr>
        <w:shd w:fill="F2F2F2" w:val="clear"/>
        <w:spacing w:after="16" w:before="16"/>
        <w:ind w:left="720"/>
      </w:pPr>
      <w:r>
        <w:rPr>
          <w:rFonts w:ascii="Courier New" w:cs="Courier New" w:eastAsia="Courier New" w:hAnsi="Courier New"/>
          <w:sz w:val="18"/>
          <w:szCs w:val="18"/>
        </w:rPr>
        <w:t xml:space="preserve">    'ascending triangle':'BULLISH', 'falling wedge':'BULLISH',</w:t>
      </w:r>
    </w:p>
    <w:p>
      <w:pPr>
        <w:shd w:fill="F2F2F2" w:val="clear"/>
        <w:spacing w:after="16" w:before="16"/>
        <w:ind w:left="720"/>
      </w:pPr>
      <w:r>
        <w:rPr>
          <w:rFonts w:ascii="Courier New" w:cs="Courier New" w:eastAsia="Courier New" w:hAnsi="Courier New"/>
          <w:sz w:val="18"/>
          <w:szCs w:val="18"/>
        </w:rPr>
        <w:t xml:space="preserve">    'double top':'BEARISH', 'head and shoulders':'BEARISH',</w:t>
      </w:r>
    </w:p>
    <w:p>
      <w:pPr>
        <w:shd w:fill="F2F2F2" w:val="clear"/>
        <w:spacing w:after="16" w:before="16"/>
        <w:ind w:left="720"/>
      </w:pPr>
      <w:r>
        <w:rPr>
          <w:rFonts w:ascii="Courier New" w:cs="Courier New" w:eastAsia="Courier New" w:hAnsi="Courier New"/>
          <w:sz w:val="18"/>
          <w:szCs w:val="18"/>
        </w:rPr>
        <w:t xml:space="preserve">    'bear flag':'BEARISH', 'descending triangle':'BEARISH',</w:t>
      </w:r>
    </w:p>
    <w:p>
      <w:pPr>
        <w:shd w:fill="F2F2F2" w:val="clear"/>
        <w:spacing w:after="16" w:before="16"/>
        <w:ind w:left="720"/>
      </w:pPr>
      <w:r>
        <w:rPr>
          <w:rFonts w:ascii="Courier New" w:cs="Courier New" w:eastAsia="Courier New" w:hAnsi="Courier New"/>
          <w:sz w:val="18"/>
          <w:szCs w:val="18"/>
        </w:rPr>
        <w:t xml:space="preserve">    'rising wedge':'BEARISH', 'evening star':'BEARISH',</w:t>
      </w:r>
    </w:p>
    <w:p>
      <w:pPr>
        <w:shd w:fill="F2F2F2" w:val="clear"/>
        <w:spacing w:after="16" w:before="16"/>
        <w:ind w:left="720"/>
      </w:pPr>
      <w:r>
        <w:rPr>
          <w:rFonts w:ascii="Courier New" w:cs="Courier New" w:eastAsia="Courier New" w:hAnsi="Courier New"/>
          <w:sz w:val="18"/>
          <w:szCs w:val="18"/>
        </w:rPr>
        <w:t xml:space="preserve">    'symmetrical triangle':'NEUTRAL', 'pennant':'NEUTRAL',</w:t>
      </w:r>
    </w:p>
    <w:p>
      <w:pPr>
        <w:shd w:fill="F2F2F2" w:val="clear"/>
        <w:spacing w:after="16" w:before="16"/>
        <w:ind w:left="720"/>
      </w:pPr>
      <w:r>
        <w:rPr>
          <w:rFonts w:ascii="Courier New" w:cs="Courier New" w:eastAsia="Courier New" w:hAnsi="Courier New"/>
          <w:sz w:val="18"/>
          <w:szCs w:val="18"/>
        </w:rPr>
        <w:t xml:space="preserve">    'rectangle':'NEUTRAL', 'consolidation':'NEUTRAL',</w:t>
      </w:r>
    </w:p>
    <w:p>
      <w:pPr>
        <w:shd w:fill="F2F2F2" w:val="clear"/>
        <w:spacing w:after="16" w:before="16"/>
        <w:ind w:left="720"/>
      </w:pPr>
      <w:r>
        <w:rPr>
          <w:rFonts w:ascii="Courier New" w:cs="Courier New" w:eastAsia="Courier New" w:hAnsi="Courier New"/>
          <w:sz w:val="18"/>
          <w:szCs w:val="18"/>
        </w:rPr>
        <w:t xml:space="preserve">}</w:t>
      </w:r>
    </w:p>
    <w:p>
      <w:pPr>
        <w:spacing w:after="80" w:before="60"/>
      </w:pPr>
      <w:r>
        <w:rPr>
          <w:color w:val="111111"/>
          <w:sz w:val="20"/>
          <w:szCs w:val="20"/>
        </w:rPr>
        <w:t xml:space="preserve">Surface as [BULLISH MOMENTUM] / [BEARISH] / [NEUTRAL] tags in all Why sections — Today, Asymmetry/Momentum, and Ravens thesis text.</w:t>
      </w:r>
    </w:p>
    <w:p>
      <w:pPr>
        <w:spacing w:after="80" w:before="60"/>
      </w:pPr>
      <w:r>
        <w:rPr>
          <w:color w:val="111111"/>
          <w:sz w:val="20"/>
          <w:szCs w:val="20"/>
        </w:rPr>
        <w:t xml:space="preserve">Contradiction check: if pattern_direction != strategy_direction, surface as CAUTION flag using the WMT concentration warning mechanism.</w:t>
      </w:r>
    </w:p>
    <w:p>
      <w:pPr>
        <w:spacing w:after="40" w:before="40"/>
      </w:pPr>
    </w:p>
    <w:p>
      <w:pPr>
        <w:pStyle w:val="Heading2"/>
        <w:spacing w:after="80" w:before="260"/>
      </w:pPr>
      <w:r>
        <w:rPr>
          <w:b/>
          <w:bCs/>
          <w:color w:val="111111"/>
          <w:sz w:val="26"/>
          <w:szCs w:val="26"/>
        </w:rPr>
        <w:t xml:space="preserve">P1-5  Tests (9 required)</w:t>
      </w:r>
    </w:p>
    <w:p>
      <w:pPr>
        <w:spacing w:after="36" w:before="36"/>
        <w:ind w:left="480"/>
      </w:pPr>
      <w:r>
        <w:rPr>
          <w:sz w:val="20"/>
          <w:szCs w:val="20"/>
        </w:rPr>
        <w:t xml:space="preserve">•  edge_score candidate outranks identical low-edge candidate after P0-A fix</w:t>
      </w:r>
    </w:p>
    <w:p>
      <w:pPr>
        <w:spacing w:after="36" w:before="36"/>
        <w:ind w:left="480"/>
      </w:pPr>
      <w:r>
        <w:rPr>
          <w:sz w:val="20"/>
          <w:szCs w:val="20"/>
        </w:rPr>
        <w:t xml:space="preserve">•  earnings_clear() returns False for None date on earnings-capable ticker</w:t>
      </w:r>
    </w:p>
    <w:p>
      <w:pPr>
        <w:spacing w:after="36" w:before="36"/>
        <w:ind w:left="480"/>
      </w:pPr>
      <w:r>
        <w:rPr>
          <w:sz w:val="20"/>
          <w:szCs w:val="20"/>
        </w:rPr>
        <w:t xml:space="preserve">•  earnings_clear() returns True for IBIT (has_earnings: False)</w:t>
      </w:r>
    </w:p>
    <w:p>
      <w:pPr>
        <w:spacing w:after="36" w:before="36"/>
        <w:ind w:left="480"/>
      </w:pPr>
      <w:r>
        <w:rPr>
          <w:sz w:val="20"/>
          <w:szCs w:val="20"/>
        </w:rPr>
        <w:t xml:space="preserve">•  pop_gap field is positive when true_pop &gt; pop_implied</w:t>
      </w:r>
    </w:p>
    <w:p>
      <w:pPr>
        <w:spacing w:after="36" w:before="36"/>
        <w:ind w:left="480"/>
      </w:pPr>
      <w:r>
        <w:rPr>
          <w:sz w:val="20"/>
          <w:szCs w:val="20"/>
        </w:rPr>
        <w:t xml:space="preserve">•  scan_summary dict is emitted by the scanner with all four count fields</w:t>
      </w:r>
    </w:p>
    <w:p>
      <w:pPr>
        <w:spacing w:after="36" w:before="36"/>
        <w:ind w:left="480"/>
      </w:pPr>
      <w:r>
        <w:rPr>
          <w:sz w:val="20"/>
          <w:szCs w:val="20"/>
        </w:rPr>
        <w:t xml:space="preserve">•  regime classifier emits STAND_ASIDE when qualified_count == 0</w:t>
      </w:r>
    </w:p>
    <w:p>
      <w:pPr>
        <w:spacing w:after="36" w:before="36"/>
        <w:ind w:left="480"/>
      </w:pPr>
      <w:r>
        <w:rPr>
          <w:sz w:val="20"/>
          <w:szCs w:val="20"/>
        </w:rPr>
        <w:t xml:space="preserve">•  get_pattern_direction('second trough of a double bottom') → 'BULLISH'</w:t>
      </w:r>
    </w:p>
    <w:p>
      <w:pPr>
        <w:spacing w:after="36" w:before="36"/>
        <w:ind w:left="480"/>
      </w:pPr>
      <w:r>
        <w:rPr>
          <w:sz w:val="20"/>
          <w:szCs w:val="20"/>
        </w:rPr>
        <w:t xml:space="preserve">•  check_thesis_contradiction('BULLISH', 'bear_call_spread') → non-None string</w:t>
      </w:r>
    </w:p>
    <w:p>
      <w:pPr>
        <w:spacing w:after="36" w:before="36"/>
        <w:ind w:left="480"/>
      </w:pPr>
      <w:r>
        <w:rPr>
          <w:sz w:val="20"/>
          <w:szCs w:val="20"/>
        </w:rPr>
        <w:t xml:space="preserve">•  check_thesis_contradiction('BULLISH', 'bull_put_spread') → None</w:t>
      </w:r>
    </w:p>
    <w:p>
      <w:pPr>
        <w:spacing w:after="40" w:before="40"/>
      </w:pPr>
    </w:p>
    <w:p>
      <w:pPr>
        <w:pBdr>
          <w:bottom w:val="single" w:color="1F3A7A" w:sz="8"/>
        </w:pBdr>
        <w:spacing w:after="200" w:before="200"/>
      </w:pPr>
    </w:p>
    <w:p>
      <w:pPr>
        <w:pStyle w:val="Heading1"/>
        <w:spacing w:after="120" w:before="400"/>
      </w:pPr>
      <w:r>
        <w:rPr>
          <w:b/>
          <w:bCs/>
          <w:color w:val="1F3A7A"/>
          <w:sz w:val="34"/>
          <w:szCs w:val="34"/>
        </w:rPr>
        <w:t xml:space="preserve">P2 — Cross-Venue DECLARED Profile Architecture</w:t>
      </w:r>
    </w:p>
    <w:p>
      <w:pPr>
        <w:spacing w:after="40" w:before="40"/>
      </w:pPr>
    </w:p>
    <w:p>
      <w:pPr>
        <w:spacing w:after="80" w:before="60"/>
      </w:pPr>
      <w:r>
        <w:rPr>
          <w:color w:val="111111"/>
          <w:sz w:val="20"/>
          <w:szCs w:val="20"/>
        </w:rPr>
        <w:t xml:space="preserve">Add cross-venue schema fields to ticker profiles. Same 4-card shell across all assets. All values, labels, thresholds, and driver lists sourced from per-asset DECLARED config — never shared across assets.</w:t>
      </w:r>
    </w:p>
    <w:p>
      <w:pPr>
        <w:spacing w:after="40" w:before="4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2800"/>
        <w:gridCol w:w="1200"/>
        <w:gridCol w:w="5360"/>
      </w:tblGrid>
      <w:tr>
        <w:tc>
          <w:tcPr>
            <w:tcW w:type="dxa" w:w="2800"/>
            <w:shd w:fill="EEF2F8" w:val="clear"/>
            <w:tcMar>
              <w:top w:type="dxa" w:w="80"/>
              <w:left w:type="dxa" w:w="120"/>
              <w:bottom w:type="dxa" w:w="80"/>
              <w:right w:type="dxa" w:w="120"/>
            </w:tcMar>
          </w:tcPr>
          <w:p>
            <w:r>
              <w:rPr>
                <w:b/>
                <w:bCs/>
                <w:color w:val="111111"/>
                <w:sz w:val="20"/>
                <w:szCs w:val="20"/>
              </w:rPr>
              <w:t xml:space="preserve">Field</w:t>
            </w:r>
          </w:p>
        </w:tc>
        <w:tc>
          <w:tcPr>
            <w:tcW w:type="dxa" w:w="1200"/>
            <w:shd w:fill="EEF2F8" w:val="clear"/>
            <w:tcMar>
              <w:top w:type="dxa" w:w="80"/>
              <w:left w:type="dxa" w:w="120"/>
              <w:bottom w:type="dxa" w:w="80"/>
              <w:right w:type="dxa" w:w="120"/>
            </w:tcMar>
          </w:tcPr>
          <w:p>
            <w:r>
              <w:rPr>
                <w:b/>
                <w:bCs/>
                <w:color w:val="111111"/>
                <w:sz w:val="20"/>
                <w:szCs w:val="20"/>
              </w:rPr>
              <w:t xml:space="preserve">Type</w:t>
            </w:r>
          </w:p>
        </w:tc>
        <w:tc>
          <w:tcPr>
            <w:tcW w:type="dxa" w:w="5360"/>
            <w:shd w:fill="EEF2F8" w:val="clear"/>
            <w:tcMar>
              <w:top w:type="dxa" w:w="80"/>
              <w:left w:type="dxa" w:w="120"/>
              <w:bottom w:type="dxa" w:w="80"/>
              <w:right w:type="dxa" w:w="120"/>
            </w:tcMar>
          </w:tcPr>
          <w:p>
            <w:r>
              <w:rPr>
                <w:b/>
                <w:bCs/>
                <w:color w:val="111111"/>
                <w:sz w:val="20"/>
                <w:szCs w:val="20"/>
              </w:rPr>
              <w:t xml:space="preserve">Purpose</w:t>
            </w:r>
          </w:p>
        </w:tc>
      </w:tr>
      <w:tr>
        <w:tc>
          <w:tcPr>
            <w:tcW w:type="dxa" w:w="2800"/>
            <w:tcMar>
              <w:top w:type="dxa" w:w="80"/>
              <w:left w:type="dxa" w:w="120"/>
              <w:bottom w:type="dxa" w:w="80"/>
              <w:right w:type="dxa" w:w="120"/>
            </w:tcMar>
          </w:tcPr>
          <w:p>
            <w:r>
              <w:rPr>
                <w:b w:val="false"/>
                <w:bCs w:val="false"/>
                <w:color w:val="111111"/>
                <w:sz w:val="20"/>
                <w:szCs w:val="20"/>
              </w:rPr>
              <w:t xml:space="preserve">has_cross_venue_signal</w:t>
            </w:r>
          </w:p>
        </w:tc>
        <w:tc>
          <w:tcPr>
            <w:tcW w:type="dxa" w:w="1200"/>
            <w:tcMar>
              <w:top w:type="dxa" w:w="80"/>
              <w:left w:type="dxa" w:w="120"/>
              <w:bottom w:type="dxa" w:w="80"/>
              <w:right w:type="dxa" w:w="120"/>
            </w:tcMar>
          </w:tcPr>
          <w:p>
            <w:r>
              <w:rPr>
                <w:b w:val="false"/>
                <w:bCs w:val="false"/>
                <w:color w:val="111111"/>
                <w:sz w:val="20"/>
                <w:szCs w:val="20"/>
              </w:rPr>
              <w:t xml:space="preserve">bool</w:t>
            </w:r>
          </w:p>
        </w:tc>
        <w:tc>
          <w:tcPr>
            <w:tcW w:type="dxa" w:w="5360"/>
            <w:tcMar>
              <w:top w:type="dxa" w:w="80"/>
              <w:left w:type="dxa" w:w="120"/>
              <w:bottom w:type="dxa" w:w="80"/>
              <w:right w:type="dxa" w:w="120"/>
            </w:tcMar>
          </w:tcPr>
          <w:p>
            <w:r>
              <w:rPr>
                <w:b w:val="false"/>
                <w:bCs w:val="false"/>
                <w:color w:val="111111"/>
                <w:sz w:val="20"/>
                <w:szCs w:val="20"/>
              </w:rPr>
              <w:t xml:space="preserve">Master switch — False = no card rendered</w:t>
            </w:r>
          </w:p>
        </w:tc>
      </w:tr>
      <w:tr>
        <w:tc>
          <w:tcPr>
            <w:tcW w:type="dxa" w:w="2800"/>
            <w:tcMar>
              <w:top w:type="dxa" w:w="80"/>
              <w:left w:type="dxa" w:w="120"/>
              <w:bottom w:type="dxa" w:w="80"/>
              <w:right w:type="dxa" w:w="120"/>
            </w:tcMar>
          </w:tcPr>
          <w:p>
            <w:r>
              <w:rPr>
                <w:b w:val="false"/>
                <w:bCs w:val="false"/>
                <w:color w:val="111111"/>
                <w:sz w:val="20"/>
                <w:szCs w:val="20"/>
              </w:rPr>
              <w:t xml:space="preserve">cross_venue_ref_name</w:t>
            </w:r>
          </w:p>
        </w:tc>
        <w:tc>
          <w:tcPr>
            <w:tcW w:type="dxa" w:w="1200"/>
            <w:tcMar>
              <w:top w:type="dxa" w:w="80"/>
              <w:left w:type="dxa" w:w="120"/>
              <w:bottom w:type="dxa" w:w="80"/>
              <w:right w:type="dxa" w:w="120"/>
            </w:tcMar>
          </w:tcPr>
          <w:p>
            <w:r>
              <w:rPr>
                <w:b w:val="false"/>
                <w:bCs w:val="false"/>
                <w:color w:val="111111"/>
                <w:sz w:val="20"/>
                <w:szCs w:val="20"/>
              </w:rPr>
              <w:t xml:space="preserve">str</w:t>
            </w:r>
          </w:p>
        </w:tc>
        <w:tc>
          <w:tcPr>
            <w:tcW w:type="dxa" w:w="5360"/>
            <w:tcMar>
              <w:top w:type="dxa" w:w="80"/>
              <w:left w:type="dxa" w:w="120"/>
              <w:bottom w:type="dxa" w:w="80"/>
              <w:right w:type="dxa" w:w="120"/>
            </w:tcMar>
          </w:tcPr>
          <w:p>
            <w:r>
              <w:rPr>
                <w:b w:val="false"/>
                <w:bCs w:val="false"/>
                <w:color w:val="111111"/>
                <w:sz w:val="20"/>
                <w:szCs w:val="20"/>
              </w:rPr>
              <w:t xml:space="preserve">Human label: 'BTC DVOL', 'CBOE GVZ', 'ICE MOVE Index'</w:t>
            </w:r>
          </w:p>
        </w:tc>
      </w:tr>
      <w:tr>
        <w:tc>
          <w:tcPr>
            <w:tcW w:type="dxa" w:w="2800"/>
            <w:tcMar>
              <w:top w:type="dxa" w:w="80"/>
              <w:left w:type="dxa" w:w="120"/>
              <w:bottom w:type="dxa" w:w="80"/>
              <w:right w:type="dxa" w:w="120"/>
            </w:tcMar>
          </w:tcPr>
          <w:p>
            <w:r>
              <w:rPr>
                <w:b w:val="false"/>
                <w:bCs w:val="false"/>
                <w:color w:val="111111"/>
                <w:sz w:val="20"/>
                <w:szCs w:val="20"/>
              </w:rPr>
              <w:t xml:space="preserve">cross_venue_ref_signal</w:t>
            </w:r>
          </w:p>
        </w:tc>
        <w:tc>
          <w:tcPr>
            <w:tcW w:type="dxa" w:w="1200"/>
            <w:tcMar>
              <w:top w:type="dxa" w:w="80"/>
              <w:left w:type="dxa" w:w="120"/>
              <w:bottom w:type="dxa" w:w="80"/>
              <w:right w:type="dxa" w:w="120"/>
            </w:tcMar>
          </w:tcPr>
          <w:p>
            <w:r>
              <w:rPr>
                <w:b w:val="false"/>
                <w:bCs w:val="false"/>
                <w:color w:val="111111"/>
                <w:sz w:val="20"/>
                <w:szCs w:val="20"/>
              </w:rPr>
              <w:t xml:space="preserve">str</w:t>
            </w:r>
          </w:p>
        </w:tc>
        <w:tc>
          <w:tcPr>
            <w:tcW w:type="dxa" w:w="5360"/>
            <w:tcMar>
              <w:top w:type="dxa" w:w="80"/>
              <w:left w:type="dxa" w:w="120"/>
              <w:bottom w:type="dxa" w:w="80"/>
              <w:right w:type="dxa" w:w="120"/>
            </w:tcMar>
          </w:tcPr>
          <w:p>
            <w:r>
              <w:rPr>
                <w:b w:val="false"/>
                <w:bCs w:val="false"/>
                <w:color w:val="111111"/>
                <w:sz w:val="20"/>
                <w:szCs w:val="20"/>
              </w:rPr>
              <w:t xml:space="preserve">Machine key: 'BTC_DVOL', 'GVZ', 'MOVE', 'ETH_DVOL'</w:t>
            </w:r>
          </w:p>
        </w:tc>
      </w:tr>
      <w:tr>
        <w:tc>
          <w:tcPr>
            <w:tcW w:type="dxa" w:w="2800"/>
            <w:tcMar>
              <w:top w:type="dxa" w:w="80"/>
              <w:left w:type="dxa" w:w="120"/>
              <w:bottom w:type="dxa" w:w="80"/>
              <w:right w:type="dxa" w:w="120"/>
            </w:tcMar>
          </w:tcPr>
          <w:p>
            <w:r>
              <w:rPr>
                <w:b w:val="false"/>
                <w:bCs w:val="false"/>
                <w:color w:val="111111"/>
                <w:sz w:val="20"/>
                <w:szCs w:val="20"/>
              </w:rPr>
              <w:t xml:space="preserve">cross_venue_source</w:t>
            </w:r>
          </w:p>
        </w:tc>
        <w:tc>
          <w:tcPr>
            <w:tcW w:type="dxa" w:w="1200"/>
            <w:tcMar>
              <w:top w:type="dxa" w:w="80"/>
              <w:left w:type="dxa" w:w="120"/>
              <w:bottom w:type="dxa" w:w="80"/>
              <w:right w:type="dxa" w:w="120"/>
            </w:tcMar>
          </w:tcPr>
          <w:p>
            <w:r>
              <w:rPr>
                <w:b w:val="false"/>
                <w:bCs w:val="false"/>
                <w:color w:val="111111"/>
                <w:sz w:val="20"/>
                <w:szCs w:val="20"/>
              </w:rPr>
              <w:t xml:space="preserve">str</w:t>
            </w:r>
          </w:p>
        </w:tc>
        <w:tc>
          <w:tcPr>
            <w:tcW w:type="dxa" w:w="5360"/>
            <w:tcMar>
              <w:top w:type="dxa" w:w="80"/>
              <w:left w:type="dxa" w:w="120"/>
              <w:bottom w:type="dxa" w:w="80"/>
              <w:right w:type="dxa" w:w="120"/>
            </w:tcMar>
          </w:tcPr>
          <w:p>
            <w:r>
              <w:rPr>
                <w:b w:val="false"/>
                <w:bCs w:val="false"/>
                <w:color w:val="111111"/>
                <w:sz w:val="20"/>
                <w:szCs w:val="20"/>
              </w:rPr>
              <w:t xml:space="preserve">'Deribit', 'CBOE', 'ICE'</w:t>
            </w:r>
          </w:p>
        </w:tc>
      </w:tr>
      <w:tr>
        <w:tc>
          <w:tcPr>
            <w:tcW w:type="dxa" w:w="2800"/>
            <w:tcMar>
              <w:top w:type="dxa" w:w="80"/>
              <w:left w:type="dxa" w:w="120"/>
              <w:bottom w:type="dxa" w:w="80"/>
              <w:right w:type="dxa" w:w="120"/>
            </w:tcMar>
          </w:tcPr>
          <w:p>
            <w:r>
              <w:rPr>
                <w:b w:val="false"/>
                <w:bCs w:val="false"/>
                <w:color w:val="111111"/>
                <w:sz w:val="20"/>
                <w:szCs w:val="20"/>
              </w:rPr>
              <w:t xml:space="preserve">cross_venue_hours</w:t>
            </w:r>
          </w:p>
        </w:tc>
        <w:tc>
          <w:tcPr>
            <w:tcW w:type="dxa" w:w="1200"/>
            <w:tcMar>
              <w:top w:type="dxa" w:w="80"/>
              <w:left w:type="dxa" w:w="120"/>
              <w:bottom w:type="dxa" w:w="80"/>
              <w:right w:type="dxa" w:w="120"/>
            </w:tcMar>
          </w:tcPr>
          <w:p>
            <w:r>
              <w:rPr>
                <w:b w:val="false"/>
                <w:bCs w:val="false"/>
                <w:color w:val="111111"/>
                <w:sz w:val="20"/>
                <w:szCs w:val="20"/>
              </w:rPr>
              <w:t xml:space="preserve">str</w:t>
            </w:r>
          </w:p>
        </w:tc>
        <w:tc>
          <w:tcPr>
            <w:tcW w:type="dxa" w:w="5360"/>
            <w:tcMar>
              <w:top w:type="dxa" w:w="80"/>
              <w:left w:type="dxa" w:w="120"/>
              <w:bottom w:type="dxa" w:w="80"/>
              <w:right w:type="dxa" w:w="120"/>
            </w:tcMar>
          </w:tcPr>
          <w:p>
            <w:r>
              <w:rPr>
                <w:b w:val="false"/>
                <w:bCs w:val="false"/>
                <w:color w:val="111111"/>
                <w:sz w:val="20"/>
                <w:szCs w:val="20"/>
              </w:rPr>
              <w:t xml:space="preserve">'24_7' | 'equity_hours' | 'business_hours'</w:t>
            </w:r>
          </w:p>
        </w:tc>
      </w:tr>
      <w:tr>
        <w:tc>
          <w:tcPr>
            <w:tcW w:type="dxa" w:w="2800"/>
            <w:tcMar>
              <w:top w:type="dxa" w:w="80"/>
              <w:left w:type="dxa" w:w="120"/>
              <w:bottom w:type="dxa" w:w="80"/>
              <w:right w:type="dxa" w:w="120"/>
            </w:tcMar>
          </w:tcPr>
          <w:p>
            <w:r>
              <w:rPr>
                <w:b w:val="false"/>
                <w:bCs w:val="false"/>
                <w:color w:val="111111"/>
                <w:sz w:val="20"/>
                <w:szCs w:val="20"/>
              </w:rPr>
              <w:t xml:space="preserve">cross_venue_derived_from</w:t>
            </w:r>
          </w:p>
        </w:tc>
        <w:tc>
          <w:tcPr>
            <w:tcW w:type="dxa" w:w="1200"/>
            <w:tcMar>
              <w:top w:type="dxa" w:w="80"/>
              <w:left w:type="dxa" w:w="120"/>
              <w:bottom w:type="dxa" w:w="80"/>
              <w:right w:type="dxa" w:w="120"/>
            </w:tcMar>
          </w:tcPr>
          <w:p>
            <w:r>
              <w:rPr>
                <w:b w:val="false"/>
                <w:bCs w:val="false"/>
                <w:color w:val="111111"/>
                <w:sz w:val="20"/>
                <w:szCs w:val="20"/>
              </w:rPr>
              <w:t xml:space="preserve">Optional[str]</w:t>
            </w:r>
          </w:p>
        </w:tc>
        <w:tc>
          <w:tcPr>
            <w:tcW w:type="dxa" w:w="5360"/>
            <w:tcMar>
              <w:top w:type="dxa" w:w="80"/>
              <w:left w:type="dxa" w:w="120"/>
              <w:bottom w:type="dxa" w:w="80"/>
              <w:right w:type="dxa" w:w="120"/>
            </w:tcMar>
          </w:tcPr>
          <w:p>
            <w:r>
              <w:rPr>
                <w:b w:val="false"/>
                <w:bCs w:val="false"/>
                <w:color w:val="111111"/>
                <w:sz w:val="20"/>
                <w:szCs w:val="20"/>
              </w:rPr>
              <w:t xml:space="preserve">GVZ: 'GLD_options'. None if direct.</w:t>
            </w:r>
          </w:p>
        </w:tc>
      </w:tr>
      <w:tr>
        <w:tc>
          <w:tcPr>
            <w:tcW w:type="dxa" w:w="2800"/>
            <w:tcMar>
              <w:top w:type="dxa" w:w="80"/>
              <w:left w:type="dxa" w:w="120"/>
              <w:bottom w:type="dxa" w:w="80"/>
              <w:right w:type="dxa" w:w="120"/>
            </w:tcMar>
          </w:tcPr>
          <w:p>
            <w:r>
              <w:rPr>
                <w:b w:val="false"/>
                <w:bCs w:val="false"/>
                <w:color w:val="111111"/>
                <w:sz w:val="20"/>
                <w:szCs w:val="20"/>
              </w:rPr>
              <w:t xml:space="preserve">cross_venue_gap_noise_floor_pp</w:t>
            </w:r>
          </w:p>
        </w:tc>
        <w:tc>
          <w:tcPr>
            <w:tcW w:type="dxa" w:w="1200"/>
            <w:tcMar>
              <w:top w:type="dxa" w:w="80"/>
              <w:left w:type="dxa" w:w="120"/>
              <w:bottom w:type="dxa" w:w="80"/>
              <w:right w:type="dxa" w:w="120"/>
            </w:tcMar>
          </w:tcPr>
          <w:p>
            <w:r>
              <w:rPr>
                <w:b w:val="false"/>
                <w:bCs w:val="false"/>
                <w:color w:val="111111"/>
                <w:sz w:val="20"/>
                <w:szCs w:val="20"/>
              </w:rPr>
              <w:t xml:space="preserve">float</w:t>
            </w:r>
          </w:p>
        </w:tc>
        <w:tc>
          <w:tcPr>
            <w:tcW w:type="dxa" w:w="5360"/>
            <w:tcMar>
              <w:top w:type="dxa" w:w="80"/>
              <w:left w:type="dxa" w:w="120"/>
              <w:bottom w:type="dxa" w:w="80"/>
              <w:right w:type="dxa" w:w="120"/>
            </w:tcMar>
          </w:tcPr>
          <w:p>
            <w:r>
              <w:rPr>
                <w:b w:val="false"/>
                <w:bCs w:val="false"/>
                <w:color w:val="111111"/>
                <w:sz w:val="20"/>
                <w:szCs w:val="20"/>
              </w:rPr>
              <w:t xml:space="preserve">Min gap (pp) = signal vs noise. Per-asset. NEVER shared.</w:t>
            </w:r>
          </w:p>
        </w:tc>
      </w:tr>
      <w:tr>
        <w:tc>
          <w:tcPr>
            <w:tcW w:type="dxa" w:w="2800"/>
            <w:tcMar>
              <w:top w:type="dxa" w:w="80"/>
              <w:left w:type="dxa" w:w="120"/>
              <w:bottom w:type="dxa" w:w="80"/>
              <w:right w:type="dxa" w:w="120"/>
            </w:tcMar>
          </w:tcPr>
          <w:p>
            <w:r>
              <w:rPr>
                <w:b w:val="false"/>
                <w:bCs w:val="false"/>
                <w:color w:val="111111"/>
                <w:sz w:val="20"/>
                <w:szCs w:val="20"/>
              </w:rPr>
              <w:t xml:space="preserve">cross_venue_drivers</w:t>
            </w:r>
          </w:p>
        </w:tc>
        <w:tc>
          <w:tcPr>
            <w:tcW w:type="dxa" w:w="1200"/>
            <w:tcMar>
              <w:top w:type="dxa" w:w="80"/>
              <w:left w:type="dxa" w:w="120"/>
              <w:bottom w:type="dxa" w:w="80"/>
              <w:right w:type="dxa" w:w="120"/>
            </w:tcMar>
          </w:tcPr>
          <w:p>
            <w:r>
              <w:rPr>
                <w:b w:val="false"/>
                <w:bCs w:val="false"/>
                <w:color w:val="111111"/>
                <w:sz w:val="20"/>
                <w:szCs w:val="20"/>
              </w:rPr>
              <w:t xml:space="preserve">List[str]</w:t>
            </w:r>
          </w:p>
        </w:tc>
        <w:tc>
          <w:tcPr>
            <w:tcW w:type="dxa" w:w="5360"/>
            <w:tcMar>
              <w:top w:type="dxa" w:w="80"/>
              <w:left w:type="dxa" w:w="120"/>
              <w:bottom w:type="dxa" w:w="80"/>
              <w:right w:type="dxa" w:w="120"/>
            </w:tcMar>
          </w:tcPr>
          <w:p>
            <w:r>
              <w:rPr>
                <w:b w:val="false"/>
                <w:bCs w:val="false"/>
                <w:color w:val="111111"/>
                <w:sz w:val="20"/>
                <w:szCs w:val="20"/>
              </w:rPr>
              <w:t xml:space="preserve">Asset-specific driver list. NEVER shared across assets.</w:t>
            </w:r>
          </w:p>
        </w:tc>
      </w:tr>
    </w:tbl>
    <w:p>
      <w:pPr>
        <w:spacing w:after="40" w:before="40"/>
      </w:pPr>
    </w:p>
    <w:p>
      <w:pPr>
        <w:pStyle w:val="Heading2"/>
        <w:spacing w:after="80" w:before="260"/>
      </w:pPr>
      <w:r>
        <w:rPr>
          <w:b/>
          <w:bCs/>
          <w:color w:val="111111"/>
          <w:sz w:val="26"/>
          <w:szCs w:val="26"/>
        </w:rPr>
        <w:t xml:space="preserve">P2-1  IBIT — formalize existing BTC config</w:t>
      </w:r>
    </w:p>
    <w:p>
      <w:pPr>
        <w:shd w:fill="F2F2F2" w:val="clear"/>
        <w:spacing w:after="16" w:before="16"/>
        <w:ind w:left="720"/>
      </w:pPr>
      <w:r>
        <w:rPr>
          <w:rFonts w:ascii="Courier New" w:cs="Courier New" w:eastAsia="Courier New" w:hAnsi="Courier New"/>
          <w:sz w:val="18"/>
          <w:szCs w:val="18"/>
        </w:rPr>
        <w:t xml:space="preserve">'has_cross_venue_signal':True, 'cross_venue_ref_name':'BTC DVOL',</w:t>
      </w:r>
    </w:p>
    <w:p>
      <w:pPr>
        <w:shd w:fill="F2F2F2" w:val="clear"/>
        <w:spacing w:after="16" w:before="16"/>
        <w:ind w:left="720"/>
      </w:pPr>
      <w:r>
        <w:rPr>
          <w:rFonts w:ascii="Courier New" w:cs="Courier New" w:eastAsia="Courier New" w:hAnsi="Courier New"/>
          <w:sz w:val="18"/>
          <w:szCs w:val="18"/>
        </w:rPr>
        <w:t xml:space="preserve">'cross_venue_ref_signal':'BTC_DVOL', 'cross_venue_source':'Deribit',</w:t>
      </w:r>
    </w:p>
    <w:p>
      <w:pPr>
        <w:shd w:fill="F2F2F2" w:val="clear"/>
        <w:spacing w:after="16" w:before="16"/>
        <w:ind w:left="720"/>
      </w:pPr>
      <w:r>
        <w:rPr>
          <w:rFonts w:ascii="Courier New" w:cs="Courier New" w:eastAsia="Courier New" w:hAnsi="Courier New"/>
          <w:sz w:val="18"/>
          <w:szCs w:val="18"/>
        </w:rPr>
        <w:t xml:space="preserve">'cross_venue_hours':'24_7', 'cross_venue_derived_from':None,</w:t>
      </w:r>
    </w:p>
    <w:p>
      <w:pPr>
        <w:shd w:fill="F2F2F2" w:val="clear"/>
        <w:spacing w:after="16" w:before="16"/>
        <w:ind w:left="720"/>
      </w:pPr>
      <w:r>
        <w:rPr>
          <w:rFonts w:ascii="Courier New" w:cs="Courier New" w:eastAsia="Courier New" w:hAnsi="Courier New"/>
          <w:sz w:val="18"/>
          <w:szCs w:val="18"/>
        </w:rPr>
        <w:t xml:space="preserve">'cross_venue_gap_noise_floor_pp':2.0,</w:t>
      </w:r>
    </w:p>
    <w:p>
      <w:pPr>
        <w:shd w:fill="F2F2F2" w:val="clear"/>
        <w:spacing w:after="16" w:before="16"/>
        <w:ind w:left="720"/>
      </w:pPr>
      <w:r>
        <w:rPr>
          <w:rFonts w:ascii="Courier New" w:cs="Courier New" w:eastAsia="Courier New" w:hAnsi="Courier New"/>
          <w:sz w:val="18"/>
          <w:szCs w:val="18"/>
        </w:rPr>
        <w:t xml:space="preserve">'cross_venue_drivers':['ETF net flows (IBIT,FBTC,BITB)','Spot BTC funding rates',</w:t>
      </w:r>
    </w:p>
    <w:p>
      <w:pPr>
        <w:shd w:fill="F2F2F2" w:val="clear"/>
        <w:spacing w:after="16" w:before="16"/>
        <w:ind w:left="720"/>
      </w:pPr>
      <w:r>
        <w:rPr>
          <w:rFonts w:ascii="Courier New" w:cs="Courier New" w:eastAsia="Courier New" w:hAnsi="Courier New"/>
          <w:sz w:val="18"/>
          <w:szCs w:val="18"/>
        </w:rPr>
        <w:t xml:space="preserve">    'Halving cycle position','Macro risk-on/risk-off','Exchange stablecoin reserves'],</w:t>
      </w:r>
    </w:p>
    <w:p>
      <w:pPr>
        <w:spacing w:after="40" w:before="40"/>
      </w:pPr>
    </w:p>
    <w:p>
      <w:pPr>
        <w:pStyle w:val="Heading2"/>
        <w:spacing w:after="80" w:before="260"/>
      </w:pPr>
      <w:r>
        <w:rPr>
          <w:b/>
          <w:bCs/>
          <w:color w:val="111111"/>
          <w:sz w:val="26"/>
          <w:szCs w:val="26"/>
        </w:rPr>
        <w:t xml:space="preserve">P2-2  GDX / GLD — GVZ cross-venue config</w:t>
      </w:r>
    </w:p>
    <w:p>
      <w:pPr>
        <w:spacing w:after="80" w:before="60"/>
      </w:pPr>
      <w:r>
        <w:rPr>
          <w:color w:val="111111"/>
          <w:sz w:val="20"/>
          <w:szCs w:val="20"/>
        </w:rPr>
        <w:t xml:space="preserve">GVZ is derived from GLD options — not COMEX or spot gold. GDX adds miner equity beta GLD doesn't carry. Equity hours only.</w:t>
      </w:r>
    </w:p>
    <w:p>
      <w:pPr>
        <w:shd w:fill="F2F2F2" w:val="clear"/>
        <w:spacing w:after="16" w:before="16"/>
        <w:ind w:left="720"/>
      </w:pPr>
      <w:r>
        <w:rPr>
          <w:rFonts w:ascii="Courier New" w:cs="Courier New" w:eastAsia="Courier New" w:hAnsi="Courier New"/>
          <w:sz w:val="18"/>
          <w:szCs w:val="18"/>
        </w:rPr>
        <w:t xml:space="preserve">'cross_venue_ref_name':'CBOE Gold Volatility (GVZ)', 'cross_venue_ref_signal':'GVZ',</w:t>
      </w:r>
    </w:p>
    <w:p>
      <w:pPr>
        <w:shd w:fill="F2F2F2" w:val="clear"/>
        <w:spacing w:after="16" w:before="16"/>
        <w:ind w:left="720"/>
      </w:pPr>
      <w:r>
        <w:rPr>
          <w:rFonts w:ascii="Courier New" w:cs="Courier New" w:eastAsia="Courier New" w:hAnsi="Courier New"/>
          <w:sz w:val="18"/>
          <w:szCs w:val="18"/>
        </w:rPr>
        <w:t xml:space="preserve">'cross_venue_source':'CBOE', 'cross_venue_hours':'equity_hours',</w:t>
      </w:r>
    </w:p>
    <w:p>
      <w:pPr>
        <w:shd w:fill="F2F2F2" w:val="clear"/>
        <w:spacing w:after="16" w:before="16"/>
        <w:ind w:left="720"/>
      </w:pPr>
      <w:r>
        <w:rPr>
          <w:rFonts w:ascii="Courier New" w:cs="Courier New" w:eastAsia="Courier New" w:hAnsi="Courier New"/>
          <w:sz w:val="18"/>
          <w:szCs w:val="18"/>
        </w:rPr>
        <w:t xml:space="preserve">'cross_venue_derived_from':'GLD_options', 'cross_venue_gap_noise_floor_pp':0.5,</w:t>
      </w:r>
    </w:p>
    <w:p>
      <w:pPr>
        <w:shd w:fill="F2F2F2" w:val="clear"/>
        <w:spacing w:after="16" w:before="16"/>
        <w:ind w:left="720"/>
      </w:pPr>
      <w:r>
        <w:rPr>
          <w:rFonts w:ascii="Courier New" w:cs="Courier New" w:eastAsia="Courier New" w:hAnsi="Courier New"/>
          <w:sz w:val="18"/>
          <w:szCs w:val="18"/>
        </w:rPr>
        <w:t xml:space="preserve">'cross_venue_drivers':['Real yields (TIPS vs nominal)','USD strength (DXY)',</w:t>
      </w:r>
    </w:p>
    <w:p>
      <w:pPr>
        <w:shd w:fill="F2F2F2" w:val="clear"/>
        <w:spacing w:after="16" w:before="16"/>
        <w:ind w:left="720"/>
      </w:pPr>
      <w:r>
        <w:rPr>
          <w:rFonts w:ascii="Courier New" w:cs="Courier New" w:eastAsia="Courier New" w:hAnsi="Courier New"/>
          <w:sz w:val="18"/>
          <w:szCs w:val="18"/>
        </w:rPr>
        <w:t xml:space="preserve">    'Central bank buying','Geopolitical stress','CPI surprise'],</w:t>
      </w:r>
    </w:p>
    <w:p>
      <w:pPr>
        <w:spacing w:after="40" w:before="40"/>
      </w:pPr>
    </w:p>
    <w:p>
      <w:pPr>
        <w:pStyle w:val="Heading2"/>
        <w:spacing w:after="80" w:before="260"/>
      </w:pPr>
      <w:r>
        <w:rPr>
          <w:b/>
          <w:bCs/>
          <w:color w:val="111111"/>
          <w:sz w:val="26"/>
          <w:szCs w:val="26"/>
        </w:rPr>
        <w:t xml:space="preserve">P2-3  TLT — MOVE index cross-venue config</w:t>
      </w:r>
    </w:p>
    <w:p>
      <w:pPr>
        <w:spacing w:after="80" w:before="60"/>
      </w:pPr>
      <w:r>
        <w:rPr>
          <w:color w:val="111111"/>
          <w:sz w:val="20"/>
          <w:szCs w:val="20"/>
        </w:rPr>
        <w:t xml:space="preserve">MOVE measures Treasury implied vol independently of TLT's options. Business hours. Reacts to Fed meetings and CPI.</w:t>
      </w:r>
    </w:p>
    <w:p>
      <w:pPr>
        <w:shd w:fill="F2F2F2" w:val="clear"/>
        <w:spacing w:after="16" w:before="16"/>
        <w:ind w:left="720"/>
      </w:pPr>
      <w:r>
        <w:rPr>
          <w:rFonts w:ascii="Courier New" w:cs="Courier New" w:eastAsia="Courier New" w:hAnsi="Courier New"/>
          <w:sz w:val="18"/>
          <w:szCs w:val="18"/>
        </w:rPr>
        <w:t xml:space="preserve">'cross_venue_ref_name':'ICE BofA MOVE Index', 'cross_venue_ref_signal':'MOVE',</w:t>
      </w:r>
    </w:p>
    <w:p>
      <w:pPr>
        <w:shd w:fill="F2F2F2" w:val="clear"/>
        <w:spacing w:after="16" w:before="16"/>
        <w:ind w:left="720"/>
      </w:pPr>
      <w:r>
        <w:rPr>
          <w:rFonts w:ascii="Courier New" w:cs="Courier New" w:eastAsia="Courier New" w:hAnsi="Courier New"/>
          <w:sz w:val="18"/>
          <w:szCs w:val="18"/>
        </w:rPr>
        <w:t xml:space="preserve">'cross_venue_source':'ICE', 'cross_venue_hours':'business_hours',</w:t>
      </w:r>
    </w:p>
    <w:p>
      <w:pPr>
        <w:shd w:fill="F2F2F2" w:val="clear"/>
        <w:spacing w:after="16" w:before="16"/>
        <w:ind w:left="720"/>
      </w:pPr>
      <w:r>
        <w:rPr>
          <w:rFonts w:ascii="Courier New" w:cs="Courier New" w:eastAsia="Courier New" w:hAnsi="Courier New"/>
          <w:sz w:val="18"/>
          <w:szCs w:val="18"/>
        </w:rPr>
        <w:t xml:space="preserve">'cross_venue_derived_from':None, 'cross_venue_gap_noise_floor_pp':1.0,</w:t>
      </w:r>
    </w:p>
    <w:p>
      <w:pPr>
        <w:shd w:fill="F2F2F2" w:val="clear"/>
        <w:spacing w:after="16" w:before="16"/>
        <w:ind w:left="720"/>
      </w:pPr>
      <w:r>
        <w:rPr>
          <w:rFonts w:ascii="Courier New" w:cs="Courier New" w:eastAsia="Courier New" w:hAnsi="Courier New"/>
          <w:sz w:val="18"/>
          <w:szCs w:val="18"/>
        </w:rPr>
        <w:t xml:space="preserve">'cross_venue_drivers':['Fed meeting calendar and dot plot','CPI/PCE surprises',</w:t>
      </w:r>
    </w:p>
    <w:p>
      <w:pPr>
        <w:shd w:fill="F2F2F2" w:val="clear"/>
        <w:spacing w:after="16" w:before="16"/>
        <w:ind w:left="720"/>
      </w:pPr>
      <w:r>
        <w:rPr>
          <w:rFonts w:ascii="Courier New" w:cs="Courier New" w:eastAsia="Courier New" w:hAnsi="Courier New"/>
          <w:sz w:val="18"/>
          <w:szCs w:val="18"/>
        </w:rPr>
        <w:t xml:space="preserve">    'Treasury auction supply (10Y,30Y)','Yield curve slope (2Y-10Y)'],</w:t>
      </w:r>
    </w:p>
    <w:p>
      <w:pPr>
        <w:spacing w:after="40" w:before="40"/>
      </w:pPr>
    </w:p>
    <w:p>
      <w:pPr>
        <w:pStyle w:val="Heading2"/>
        <w:spacing w:after="80" w:before="260"/>
      </w:pPr>
      <w:r>
        <w:rPr>
          <w:b/>
          <w:bCs/>
          <w:color w:val="111111"/>
          <w:sz w:val="26"/>
          <w:szCs w:val="26"/>
        </w:rPr>
        <w:t xml:space="preserve">P2-4  Verify GVZ and MOVE data fetch paths</w:t>
      </w:r>
    </w:p>
    <w:p>
      <w:pPr>
        <w:spacing w:after="36" w:before="36"/>
        <w:ind w:left="480"/>
      </w:pPr>
      <w:r>
        <w:rPr>
          <w:sz w:val="20"/>
          <w:szCs w:val="20"/>
        </w:rPr>
        <w:t xml:space="preserve">•  GVZ: yfinance '^GVZ' or FRED series GVZCLS</w:t>
      </w:r>
    </w:p>
    <w:p>
      <w:pPr>
        <w:spacing w:after="36" w:before="36"/>
        <w:ind w:left="480"/>
      </w:pPr>
      <w:r>
        <w:rPr>
          <w:sz w:val="20"/>
          <w:szCs w:val="20"/>
        </w:rPr>
        <w:t xml:space="preserve">•  MOVE: FRED series BAMLMOVE</w:t>
      </w:r>
    </w:p>
    <w:p>
      <w:pPr>
        <w:spacing w:after="36" w:before="36"/>
        <w:ind w:left="480"/>
      </w:pPr>
      <w:r>
        <w:rPr>
          <w:sz w:val="20"/>
          <w:szCs w:val="20"/>
        </w:rPr>
        <w:t xml:space="preserve">•  Populate ctx['GVZ'] and ctx['MOVE'] using the same pattern as ctx['BTC_DVOL']</w:t>
      </w:r>
    </w:p>
    <w:p>
      <w:pPr>
        <w:spacing w:after="40" w:before="40"/>
      </w:pPr>
    </w:p>
    <w:p>
      <w:pPr>
        <w:pBdr>
          <w:bottom w:val="single" w:color="1F3A7A" w:sz="8"/>
        </w:pBdr>
        <w:spacing w:after="200" w:before="200"/>
      </w:pPr>
    </w:p>
    <w:p>
      <w:pPr>
        <w:pStyle w:val="Heading1"/>
        <w:spacing w:after="120" w:before="400"/>
      </w:pPr>
      <w:r>
        <w:rPr>
          <w:b/>
          <w:bCs/>
          <w:color w:val="1F3A7A"/>
          <w:sz w:val="34"/>
          <w:szCs w:val="34"/>
        </w:rPr>
        <w:t xml:space="preserve">P3 — ETHA (Ethereum) Profile + Deribit ETH DVOL</w:t>
      </w:r>
    </w:p>
    <w:p>
      <w:pPr>
        <w:spacing w:after="40" w:before="40"/>
      </w:pPr>
    </w:p>
    <w:p>
      <w:pPr>
        <w:shd w:fill="F2F2F2" w:val="clear"/>
        <w:spacing w:after="16" w:before="16"/>
        <w:ind w:left="720"/>
      </w:pPr>
      <w:r>
        <w:rPr>
          <w:rFonts w:ascii="Courier New" w:cs="Courier New" w:eastAsia="Courier New" w:hAnsi="Courier New"/>
          <w:sz w:val="18"/>
          <w:szCs w:val="18"/>
        </w:rPr>
        <w:t xml:space="preserve">'has_cross_venue_signal':True, 'cross_venue_ref_name':'ETH DVOL',</w:t>
      </w:r>
    </w:p>
    <w:p>
      <w:pPr>
        <w:shd w:fill="F2F2F2" w:val="clear"/>
        <w:spacing w:after="16" w:before="16"/>
        <w:ind w:left="720"/>
      </w:pPr>
      <w:r>
        <w:rPr>
          <w:rFonts w:ascii="Courier New" w:cs="Courier New" w:eastAsia="Courier New" w:hAnsi="Courier New"/>
          <w:sz w:val="18"/>
          <w:szCs w:val="18"/>
        </w:rPr>
        <w:t xml:space="preserve">'cross_venue_ref_signal':'ETH_DVOL', 'cross_venue_source':'Deribit',</w:t>
      </w:r>
    </w:p>
    <w:p>
      <w:pPr>
        <w:shd w:fill="F2F2F2" w:val="clear"/>
        <w:spacing w:after="16" w:before="16"/>
        <w:ind w:left="720"/>
      </w:pPr>
      <w:r>
        <w:rPr>
          <w:rFonts w:ascii="Courier New" w:cs="Courier New" w:eastAsia="Courier New" w:hAnsi="Courier New"/>
          <w:sz w:val="18"/>
          <w:szCs w:val="18"/>
        </w:rPr>
        <w:t xml:space="preserve">'cross_venue_hours':'24_7', 'cross_venue_derived_from':None,</w:t>
      </w:r>
    </w:p>
    <w:p>
      <w:pPr>
        <w:shd w:fill="F2F2F2" w:val="clear"/>
        <w:spacing w:after="16" w:before="16"/>
        <w:ind w:left="720"/>
      </w:pPr>
      <w:r>
        <w:rPr>
          <w:rFonts w:ascii="Courier New" w:cs="Courier New" w:eastAsia="Courier New" w:hAnsi="Courier New"/>
          <w:sz w:val="18"/>
          <w:szCs w:val="18"/>
        </w:rPr>
        <w:t xml:space="preserve">'cross_venue_gap_noise_floor_pp':2.0,</w:t>
      </w:r>
    </w:p>
    <w:p>
      <w:pPr>
        <w:shd w:fill="F2F2F2" w:val="clear"/>
        <w:spacing w:after="16" w:before="16"/>
        <w:ind w:left="720"/>
      </w:pPr>
      <w:r>
        <w:rPr>
          <w:rFonts w:ascii="Courier New" w:cs="Courier New" w:eastAsia="Courier New" w:hAnsi="Courier New"/>
          <w:sz w:val="18"/>
          <w:szCs w:val="18"/>
        </w:rPr>
        <w:t xml:space="preserve">'cross_venue_drivers':['Ethereum staking yield (APY)','Layer 2 TVL (Arbitrum,Base,Optimism)',</w:t>
      </w:r>
    </w:p>
    <w:p>
      <w:pPr>
        <w:shd w:fill="F2F2F2" w:val="clear"/>
        <w:spacing w:after="16" w:before="16"/>
        <w:ind w:left="720"/>
      </w:pPr>
      <w:r>
        <w:rPr>
          <w:rFonts w:ascii="Courier New" w:cs="Courier New" w:eastAsia="Courier New" w:hAnsi="Courier New"/>
          <w:sz w:val="18"/>
          <w:szCs w:val="18"/>
        </w:rPr>
        <w:t xml:space="preserve">    'Gas fee levels','ETF net flows (ETHA,ETHW)','ETH/BTC ratio'],</w:t>
      </w:r>
    </w:p>
    <w:p>
      <w:pPr>
        <w:spacing w:after="40" w:before="40"/>
      </w:pPr>
    </w:p>
    <w:p>
      <w:pPr>
        <w:spacing w:after="80" w:before="60"/>
      </w:pPr>
      <w:r>
        <w:rPr>
          <w:color w:val="111111"/>
          <w:sz w:val="20"/>
          <w:szCs w:val="20"/>
        </w:rPr>
        <w:t xml:space="preserve">Extend Deribit fetch to accept currency parameter ('BTC' or 'ETH'). Populate both ctx['BTC_DVOL'] and ctx['ETH_DVOL'].</w:t>
      </w:r>
    </w:p>
    <w:p>
      <w:pPr>
        <w:spacing w:after="40" w:before="40"/>
      </w:pPr>
    </w:p>
    <w:p>
      <w:pPr>
        <w:pBdr>
          <w:bottom w:val="single" w:color="1F3A7A" w:sz="8"/>
        </w:pBdr>
        <w:spacing w:after="200" w:before="200"/>
      </w:pPr>
    </w:p>
    <w:p>
      <w:pPr>
        <w:pStyle w:val="Heading1"/>
        <w:spacing w:after="120" w:before="400"/>
      </w:pPr>
      <w:r>
        <w:rPr>
          <w:b/>
          <w:bCs/>
          <w:color w:val="1F3A7A"/>
          <w:sz w:val="34"/>
          <w:szCs w:val="34"/>
        </w:rPr>
        <w:t xml:space="preserve">P4 — Crypto / Research Tab Multi-Asset Block Refactor</w:t>
      </w:r>
    </w:p>
    <w:p>
      <w:pPr>
        <w:spacing w:after="40" w:before="40"/>
      </w:pPr>
    </w:p>
    <w:p>
      <w:pPr>
        <w:spacing w:after="80" w:before="60"/>
      </w:pPr>
      <w:r>
        <w:rPr>
          <w:color w:val="111111"/>
          <w:sz w:val="20"/>
          <w:szCs w:val="20"/>
        </w:rPr>
        <w:t xml:space="preserve">Single tab (renamed per Decision 2), one block per asset, looped from DECLARED config:</w:t>
      </w:r>
    </w:p>
    <w:p>
      <w:pPr>
        <w:shd w:fill="F2F2F2" w:val="clear"/>
        <w:spacing w:after="16" w:before="16"/>
        <w:ind w:left="720"/>
      </w:pPr>
      <w:r>
        <w:rPr>
          <w:rFonts w:ascii="Courier New" w:cs="Courier New" w:eastAsia="Courier New" w:hAnsi="Courier New"/>
          <w:sz w:val="18"/>
          <w:szCs w:val="18"/>
        </w:rPr>
        <w:t xml:space="preserve">CRYPTO_TICKERS = ['IBIT', 'ETHA', 'SOLI']</w:t>
      </w:r>
    </w:p>
    <w:p>
      <w:pPr>
        <w:shd w:fill="F2F2F2" w:val="clear"/>
        <w:spacing w:after="16" w:before="16"/>
        <w:ind w:left="720"/>
      </w:pPr>
      <w:r>
        <w:rPr>
          <w:rFonts w:ascii="Courier New" w:cs="Courier New" w:eastAsia="Courier New" w:hAnsi="Courier New"/>
          <w:sz w:val="18"/>
          <w:szCs w:val="18"/>
        </w:rPr>
        <w:t xml:space="preserve">for ticker in CRYPTO_TICKERS:</w:t>
      </w:r>
    </w:p>
    <w:p>
      <w:pPr>
        <w:shd w:fill="F2F2F2" w:val="clear"/>
        <w:spacing w:after="16" w:before="16"/>
        <w:ind w:left="720"/>
      </w:pPr>
      <w:r>
        <w:rPr>
          <w:rFonts w:ascii="Courier New" w:cs="Courier New" w:eastAsia="Courier New" w:hAnsi="Courier New"/>
          <w:sz w:val="18"/>
          <w:szCs w:val="18"/>
        </w:rPr>
        <w:t xml:space="preserve">    declared = get_ticker_profile(ticker).get('DECLARED', {})</w:t>
      </w:r>
    </w:p>
    <w:p>
      <w:pPr>
        <w:shd w:fill="F2F2F2" w:val="clear"/>
        <w:spacing w:after="16" w:before="16"/>
        <w:ind w:left="720"/>
      </w:pPr>
      <w:r>
        <w:rPr>
          <w:rFonts w:ascii="Courier New" w:cs="Courier New" w:eastAsia="Courier New" w:hAnsi="Courier New"/>
          <w:sz w:val="18"/>
          <w:szCs w:val="18"/>
        </w:rPr>
        <w:t xml:space="preserve">    if not declared.get('has_cross_venue_signal', False):</w:t>
      </w:r>
    </w:p>
    <w:p>
      <w:pPr>
        <w:shd w:fill="F2F2F2" w:val="clear"/>
        <w:spacing w:after="16" w:before="16"/>
        <w:ind w:left="720"/>
      </w:pPr>
      <w:r>
        <w:rPr>
          <w:rFonts w:ascii="Courier New" w:cs="Courier New" w:eastAsia="Courier New" w:hAnsi="Courier New"/>
          <w:sz w:val="18"/>
          <w:szCs w:val="18"/>
        </w:rPr>
        <w:t xml:space="preserve">        render_placeholder_block(ticker, 'No native market reference established')</w:t>
      </w:r>
    </w:p>
    <w:p>
      <w:pPr>
        <w:shd w:fill="F2F2F2" w:val="clear"/>
        <w:spacing w:after="16" w:before="16"/>
        <w:ind w:left="720"/>
      </w:pPr>
      <w:r>
        <w:rPr>
          <w:rFonts w:ascii="Courier New" w:cs="Courier New" w:eastAsia="Courier New" w:hAnsi="Courier New"/>
          <w:sz w:val="18"/>
          <w:szCs w:val="18"/>
        </w:rPr>
        <w:t xml:space="preserve">    else:</w:t>
      </w:r>
    </w:p>
    <w:p>
      <w:pPr>
        <w:shd w:fill="F2F2F2" w:val="clear"/>
        <w:spacing w:after="16" w:before="16"/>
        <w:ind w:left="720"/>
      </w:pPr>
      <w:r>
        <w:rPr>
          <w:rFonts w:ascii="Courier New" w:cs="Courier New" w:eastAsia="Courier New" w:hAnsi="Courier New"/>
          <w:sz w:val="18"/>
          <w:szCs w:val="18"/>
        </w:rPr>
        <w:t xml:space="preserve">        render_cross_venue_block(ticker, declared, ctx.get(declared['cross_venue_ref_signal']), ctx)</w:t>
      </w:r>
    </w:p>
    <w:p>
      <w:pPr>
        <w:spacing w:after="40" w:before="40"/>
      </w:pPr>
    </w:p>
    <w:p>
      <w:pPr>
        <w:spacing w:after="80" w:before="60"/>
      </w:pPr>
      <w:r>
        <w:rPr>
          <w:color w:val="111111"/>
          <w:sz w:val="20"/>
          <w:szCs w:val="20"/>
        </w:rPr>
        <w:t xml:space="preserve">Generalize render_cross_venue_block() — all labels from DECLARED, never hardcoded BTC. Block header uses asset-specific icon (₿/Ξ/◎). Add VEGA Edge column to Tradeable Now table within each block (pop_gap field).</w:t>
      </w:r>
    </w:p>
    <w:p>
      <w:pPr>
        <w:spacing w:after="80" w:before="60"/>
      </w:pPr>
      <w:r>
        <w:rPr>
          <w:color w:val="111111"/>
          <w:sz w:val="20"/>
          <w:szCs w:val="20"/>
        </w:rPr>
        <w:t xml:space="preserve">SOL block: placeholder only — 'Native volatility reference not yet established. Deribit SOL DVOL must be verified before analysis can run.'</w:t>
      </w:r>
    </w:p>
    <w:p>
      <w:pPr>
        <w:spacing w:after="40" w:before="40"/>
      </w:pPr>
    </w:p>
    <w:p>
      <w:pPr>
        <w:pBdr>
          <w:bottom w:val="single" w:color="1F3A7A" w:sz="8"/>
        </w:pBdr>
        <w:spacing w:after="200" w:before="200"/>
      </w:pPr>
    </w:p>
    <w:p>
      <w:pPr>
        <w:pStyle w:val="Heading1"/>
        <w:spacing w:after="120" w:before="400"/>
      </w:pPr>
      <w:r>
        <w:rPr>
          <w:b/>
          <w:bCs/>
          <w:color w:val="1F3A7A"/>
          <w:sz w:val="34"/>
          <w:szCs w:val="34"/>
        </w:rPr>
        <w:t xml:space="preserve">Milestone Gates</w:t>
      </w:r>
    </w:p>
    <w:p>
      <w:pPr>
        <w:spacing w:after="40" w:before="4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shd w:fill="EEF2F8" w:val="clear"/>
            <w:tcMar>
              <w:top w:type="dxa" w:w="80"/>
              <w:left w:type="dxa" w:w="120"/>
              <w:bottom w:type="dxa" w:w="80"/>
              <w:right w:type="dxa" w:w="120"/>
            </w:tcMar>
          </w:tcPr>
          <w:p>
            <w:r>
              <w:rPr>
                <w:b/>
                <w:bCs/>
                <w:color w:val="111111"/>
                <w:sz w:val="20"/>
                <w:szCs w:val="20"/>
              </w:rPr>
              <w:t xml:space="preserve">Gate</w:t>
            </w:r>
          </w:p>
        </w:tc>
        <w:tc>
          <w:tcPr>
            <w:tcW w:type="dxa" w:w="4680"/>
            <w:shd w:fill="EEF2F8" w:val="clear"/>
            <w:tcMar>
              <w:top w:type="dxa" w:w="80"/>
              <w:left w:type="dxa" w:w="120"/>
              <w:bottom w:type="dxa" w:w="80"/>
              <w:right w:type="dxa" w:w="120"/>
            </w:tcMar>
          </w:tcPr>
          <w:p>
            <w:r>
              <w:rPr>
                <w:b/>
                <w:bCs/>
                <w:color w:val="111111"/>
                <w:sz w:val="20"/>
                <w:szCs w:val="20"/>
              </w:rPr>
              <w:t xml:space="preserve">Required Before</w:t>
            </w:r>
          </w:p>
        </w:tc>
      </w:tr>
      <w:tr>
        <w:tc>
          <w:tcPr>
            <w:tcW w:type="dxa" w:w="4680"/>
            <w:shd w:fill="FFEBEE" w:val="clear"/>
            <w:tcMar>
              <w:top w:type="dxa" w:w="80"/>
              <w:left w:type="dxa" w:w="120"/>
              <w:bottom w:type="dxa" w:w="80"/>
              <w:right w:type="dxa" w:w="120"/>
            </w:tcMar>
          </w:tcPr>
          <w:p>
            <w:r>
              <w:rPr>
                <w:b w:val="false"/>
                <w:bCs w:val="false"/>
                <w:color w:val="111111"/>
                <w:sz w:val="20"/>
                <w:szCs w:val="20"/>
              </w:rPr>
              <w:t xml:space="preserve">750+ tests green (pre-session)</w:t>
            </w:r>
          </w:p>
        </w:tc>
        <w:tc>
          <w:tcPr>
            <w:tcW w:type="dxa" w:w="4680"/>
            <w:shd w:fill="FFEBEE" w:val="clear"/>
            <w:tcMar>
              <w:top w:type="dxa" w:w="80"/>
              <w:left w:type="dxa" w:w="120"/>
              <w:bottom w:type="dxa" w:w="80"/>
              <w:right w:type="dxa" w:w="120"/>
            </w:tcMar>
          </w:tcPr>
          <w:p>
            <w:r>
              <w:rPr>
                <w:b w:val="false"/>
                <w:bCs w:val="false"/>
                <w:color w:val="111111"/>
                <w:sz w:val="20"/>
                <w:szCs w:val="20"/>
              </w:rPr>
              <w:t xml:space="preserve">Starting any workstream</w:t>
            </w:r>
          </w:p>
        </w:tc>
      </w:tr>
      <w:tr>
        <w:tc>
          <w:tcPr>
            <w:tcW w:type="dxa" w:w="4680"/>
            <w:shd w:fill="FFF8E1" w:val="clear"/>
            <w:tcMar>
              <w:top w:type="dxa" w:w="80"/>
              <w:left w:type="dxa" w:w="120"/>
              <w:bottom w:type="dxa" w:w="80"/>
              <w:right w:type="dxa" w:w="120"/>
            </w:tcMar>
          </w:tcPr>
          <w:p>
            <w:r>
              <w:rPr>
                <w:b w:val="false"/>
                <w:bCs w:val="false"/>
                <w:color w:val="111111"/>
                <w:sz w:val="20"/>
                <w:szCs w:val="20"/>
              </w:rPr>
              <w:t xml:space="preserve">P0-A edge_score wiring confirmed or committed</w:t>
            </w:r>
          </w:p>
        </w:tc>
        <w:tc>
          <w:tcPr>
            <w:tcW w:type="dxa" w:w="4680"/>
            <w:shd w:fill="FFF8E1" w:val="clear"/>
            <w:tcMar>
              <w:top w:type="dxa" w:w="80"/>
              <w:left w:type="dxa" w:w="120"/>
              <w:bottom w:type="dxa" w:w="80"/>
              <w:right w:type="dxa" w:w="120"/>
            </w:tcMar>
          </w:tcPr>
          <w:p>
            <w:r>
              <w:rPr>
                <w:b w:val="false"/>
                <w:bCs w:val="false"/>
                <w:color w:val="111111"/>
                <w:sz w:val="20"/>
                <w:szCs w:val="20"/>
              </w:rPr>
              <w:t xml:space="preserve">Any Brier / calibration analysis — can't grade selection by edge until selection IS by edge</w:t>
            </w:r>
          </w:p>
        </w:tc>
      </w:tr>
      <w:tr>
        <w:tc>
          <w:tcPr>
            <w:tcW w:type="dxa" w:w="4680"/>
            <w:tcMar>
              <w:top w:type="dxa" w:w="80"/>
              <w:left w:type="dxa" w:w="120"/>
              <w:bottom w:type="dxa" w:w="80"/>
              <w:right w:type="dxa" w:w="120"/>
            </w:tcMar>
          </w:tcPr>
          <w:p>
            <w:r>
              <w:rPr>
                <w:b w:val="false"/>
                <w:bCs w:val="false"/>
                <w:color w:val="111111"/>
                <w:sz w:val="20"/>
                <w:szCs w:val="20"/>
              </w:rPr>
              <w:t xml:space="preserve">P0-B earnings short-circuit committed</w:t>
            </w:r>
          </w:p>
        </w:tc>
        <w:tc>
          <w:tcPr>
            <w:tcW w:type="dxa" w:w="4680"/>
            <w:tcMar>
              <w:top w:type="dxa" w:w="80"/>
              <w:left w:type="dxa" w:w="120"/>
              <w:bottom w:type="dxa" w:w="80"/>
              <w:right w:type="dxa" w:w="120"/>
            </w:tcMar>
          </w:tcPr>
          <w:p>
            <w:r>
              <w:rPr>
                <w:b w:val="false"/>
                <w:bCs w:val="false"/>
                <w:color w:val="111111"/>
                <w:sz w:val="20"/>
                <w:szCs w:val="20"/>
              </w:rPr>
              <w:t xml:space="preserve">Changing None → False on earnings_clear()</w:t>
            </w:r>
          </w:p>
        </w:tc>
      </w:tr>
      <w:tr>
        <w:tc>
          <w:tcPr>
            <w:tcW w:type="dxa" w:w="4680"/>
            <w:tcMar>
              <w:top w:type="dxa" w:w="80"/>
              <w:left w:type="dxa" w:w="120"/>
              <w:bottom w:type="dxa" w:w="80"/>
              <w:right w:type="dxa" w:w="120"/>
            </w:tcMar>
          </w:tcPr>
          <w:p>
            <w:r>
              <w:rPr>
                <w:b w:val="false"/>
                <w:bCs w:val="false"/>
                <w:color w:val="111111"/>
                <w:sz w:val="20"/>
                <w:szCs w:val="20"/>
              </w:rPr>
              <w:t xml:space="preserve">pop_gap field emitted (P1-1)</w:t>
            </w:r>
          </w:p>
        </w:tc>
        <w:tc>
          <w:tcPr>
            <w:tcW w:type="dxa" w:w="4680"/>
            <w:tcMar>
              <w:top w:type="dxa" w:w="80"/>
              <w:left w:type="dxa" w:w="120"/>
              <w:bottom w:type="dxa" w:w="80"/>
              <w:right w:type="dxa" w:w="120"/>
            </w:tcMar>
          </w:tcPr>
          <w:p>
            <w:r>
              <w:rPr>
                <w:b w:val="false"/>
                <w:bCs w:val="false"/>
                <w:color w:val="111111"/>
                <w:sz w:val="20"/>
                <w:szCs w:val="20"/>
              </w:rPr>
              <w:t xml:space="preserve">VEGA POP vs Market POP dual display in UI (A2-4)</w:t>
            </w:r>
          </w:p>
        </w:tc>
      </w:tr>
      <w:tr>
        <w:tc>
          <w:tcPr>
            <w:tcW w:type="dxa" w:w="4680"/>
            <w:tcMar>
              <w:top w:type="dxa" w:w="80"/>
              <w:left w:type="dxa" w:w="120"/>
              <w:bottom w:type="dxa" w:w="80"/>
              <w:right w:type="dxa" w:w="120"/>
            </w:tcMar>
          </w:tcPr>
          <w:p>
            <w:r>
              <w:rPr>
                <w:b w:val="false"/>
                <w:bCs w:val="false"/>
                <w:color w:val="111111"/>
                <w:sz w:val="20"/>
                <w:szCs w:val="20"/>
              </w:rPr>
              <w:t xml:space="preserve">scan_summary emitted (P1-2)</w:t>
            </w:r>
          </w:p>
        </w:tc>
        <w:tc>
          <w:tcPr>
            <w:tcW w:type="dxa" w:w="4680"/>
            <w:tcMar>
              <w:top w:type="dxa" w:w="80"/>
              <w:left w:type="dxa" w:w="120"/>
              <w:bottom w:type="dxa" w:w="80"/>
              <w:right w:type="dxa" w:w="120"/>
            </w:tcMar>
          </w:tcPr>
          <w:p>
            <w:r>
              <w:rPr>
                <w:b w:val="false"/>
                <w:bCs w:val="false"/>
                <w:color w:val="111111"/>
                <w:sz w:val="20"/>
                <w:szCs w:val="20"/>
              </w:rPr>
              <w:t xml:space="preserve">Opportunity density funnel in Today tab (A2-2)</w:t>
            </w:r>
          </w:p>
        </w:tc>
      </w:tr>
      <w:tr>
        <w:tc>
          <w:tcPr>
            <w:tcW w:type="dxa" w:w="4680"/>
            <w:tcMar>
              <w:top w:type="dxa" w:w="80"/>
              <w:left w:type="dxa" w:w="120"/>
              <w:bottom w:type="dxa" w:w="80"/>
              <w:right w:type="dxa" w:w="120"/>
            </w:tcMar>
          </w:tcPr>
          <w:p>
            <w:r>
              <w:rPr>
                <w:b w:val="false"/>
                <w:bCs w:val="false"/>
                <w:color w:val="111111"/>
                <w:sz w:val="20"/>
                <w:szCs w:val="20"/>
              </w:rPr>
              <w:t xml:space="preserve">Regime classifier updated (P1-3)</w:t>
            </w:r>
          </w:p>
        </w:tc>
        <w:tc>
          <w:tcPr>
            <w:tcW w:type="dxa" w:w="4680"/>
            <w:tcMar>
              <w:top w:type="dxa" w:w="80"/>
              <w:left w:type="dxa" w:w="120"/>
              <w:bottom w:type="dxa" w:w="80"/>
              <w:right w:type="dxa" w:w="120"/>
            </w:tcMar>
          </w:tcPr>
          <w:p>
            <w:r>
              <w:rPr>
                <w:b w:val="false"/>
                <w:bCs w:val="false"/>
                <w:color w:val="111111"/>
                <w:sz w:val="20"/>
                <w:szCs w:val="20"/>
              </w:rPr>
              <w:t xml:space="preserve">Stand Aside / Selective semantics in UI (A2-1)</w:t>
            </w:r>
          </w:p>
        </w:tc>
      </w:tr>
      <w:tr>
        <w:tc>
          <w:tcPr>
            <w:tcW w:type="dxa" w:w="4680"/>
            <w:tcMar>
              <w:top w:type="dxa" w:w="80"/>
              <w:left w:type="dxa" w:w="120"/>
              <w:bottom w:type="dxa" w:w="80"/>
              <w:right w:type="dxa" w:w="120"/>
            </w:tcMar>
          </w:tcPr>
          <w:p>
            <w:r>
              <w:rPr>
                <w:b w:val="false"/>
                <w:bCs w:val="false"/>
                <w:color w:val="111111"/>
                <w:sz w:val="20"/>
                <w:szCs w:val="20"/>
              </w:rPr>
              <w:t xml:space="preserve">P2 DECLARED schema committed for GDX and TLT</w:t>
            </w:r>
          </w:p>
        </w:tc>
        <w:tc>
          <w:tcPr>
            <w:tcW w:type="dxa" w:w="4680"/>
            <w:tcMar>
              <w:top w:type="dxa" w:w="80"/>
              <w:left w:type="dxa" w:w="120"/>
              <w:bottom w:type="dxa" w:w="80"/>
              <w:right w:type="dxa" w:w="120"/>
            </w:tcMar>
          </w:tcPr>
          <w:p>
            <w:r>
              <w:rPr>
                <w:b w:val="false"/>
                <w:bCs w:val="false"/>
                <w:color w:val="111111"/>
                <w:sz w:val="20"/>
                <w:szCs w:val="20"/>
              </w:rPr>
              <w:t xml:space="preserve">Building cross-venue UI cards for those assets</w:t>
            </w:r>
          </w:p>
        </w:tc>
      </w:tr>
      <w:tr>
        <w:tc>
          <w:tcPr>
            <w:tcW w:type="dxa" w:w="4680"/>
            <w:tcMar>
              <w:top w:type="dxa" w:w="80"/>
              <w:left w:type="dxa" w:w="120"/>
              <w:bottom w:type="dxa" w:w="80"/>
              <w:right w:type="dxa" w:w="120"/>
            </w:tcMar>
          </w:tcPr>
          <w:p>
            <w:r>
              <w:rPr>
                <w:b w:val="false"/>
                <w:bCs w:val="false"/>
                <w:color w:val="111111"/>
                <w:sz w:val="20"/>
                <w:szCs w:val="20"/>
              </w:rPr>
              <w:t xml:space="preserve">GVZ and MOVE fetch verified (P2-4)</w:t>
            </w:r>
          </w:p>
        </w:tc>
        <w:tc>
          <w:tcPr>
            <w:tcW w:type="dxa" w:w="4680"/>
            <w:tcMar>
              <w:top w:type="dxa" w:w="80"/>
              <w:left w:type="dxa" w:w="120"/>
              <w:bottom w:type="dxa" w:w="80"/>
              <w:right w:type="dxa" w:w="120"/>
            </w:tcMar>
          </w:tcPr>
          <w:p>
            <w:r>
              <w:rPr>
                <w:b w:val="false"/>
                <w:bCs w:val="false"/>
                <w:color w:val="111111"/>
                <w:sz w:val="20"/>
                <w:szCs w:val="20"/>
              </w:rPr>
              <w:t xml:space="preserve">Rendering cross-venue cards for GDX / TLT</w:t>
            </w:r>
          </w:p>
        </w:tc>
      </w:tr>
      <w:tr>
        <w:tc>
          <w:tcPr>
            <w:tcW w:type="dxa" w:w="4680"/>
            <w:tcMar>
              <w:top w:type="dxa" w:w="80"/>
              <w:left w:type="dxa" w:w="120"/>
              <w:bottom w:type="dxa" w:w="80"/>
              <w:right w:type="dxa" w:w="120"/>
            </w:tcMar>
          </w:tcPr>
          <w:p>
            <w:r>
              <w:rPr>
                <w:b w:val="false"/>
                <w:bCs w:val="false"/>
                <w:color w:val="111111"/>
                <w:sz w:val="20"/>
                <w:szCs w:val="20"/>
              </w:rPr>
              <w:t xml:space="preserve">ETH DVOL fetch extended (P3)</w:t>
            </w:r>
          </w:p>
        </w:tc>
        <w:tc>
          <w:tcPr>
            <w:tcW w:type="dxa" w:w="4680"/>
            <w:tcMar>
              <w:top w:type="dxa" w:w="80"/>
              <w:left w:type="dxa" w:w="120"/>
              <w:bottom w:type="dxa" w:w="80"/>
              <w:right w:type="dxa" w:w="120"/>
            </w:tcMar>
          </w:tcPr>
          <w:p>
            <w:r>
              <w:rPr>
                <w:b w:val="false"/>
                <w:bCs w:val="false"/>
                <w:color w:val="111111"/>
                <w:sz w:val="20"/>
                <w:szCs w:val="20"/>
              </w:rPr>
              <w:t xml:space="preserve">Rendering ETHA block in Crypto/Research tab</w:t>
            </w:r>
          </w:p>
        </w:tc>
      </w:tr>
      <w:tr>
        <w:tc>
          <w:tcPr>
            <w:tcW w:type="dxa" w:w="4680"/>
            <w:shd w:fill="FFF8E1" w:val="clear"/>
            <w:tcMar>
              <w:top w:type="dxa" w:w="80"/>
              <w:left w:type="dxa" w:w="120"/>
              <w:bottom w:type="dxa" w:w="80"/>
              <w:right w:type="dxa" w:w="120"/>
            </w:tcMar>
          </w:tcPr>
          <w:p>
            <w:r>
              <w:rPr>
                <w:b w:val="false"/>
                <w:bCs w:val="false"/>
                <w:color w:val="111111"/>
                <w:sz w:val="20"/>
                <w:szCs w:val="20"/>
              </w:rPr>
              <w:t xml:space="preserve">All tests green after each P-level</w:t>
            </w:r>
          </w:p>
        </w:tc>
        <w:tc>
          <w:tcPr>
            <w:tcW w:type="dxa" w:w="4680"/>
            <w:shd w:fill="FFF8E1" w:val="clear"/>
            <w:tcMar>
              <w:top w:type="dxa" w:w="80"/>
              <w:left w:type="dxa" w:w="120"/>
              <w:bottom w:type="dxa" w:w="80"/>
              <w:right w:type="dxa" w:w="120"/>
            </w:tcMar>
          </w:tcPr>
          <w:p>
            <w:r>
              <w:rPr>
                <w:b w:val="false"/>
                <w:bCs w:val="false"/>
                <w:color w:val="111111"/>
                <w:sz w:val="20"/>
                <w:szCs w:val="20"/>
              </w:rPr>
              <w:t xml:space="preserve">Next P-level — commit + test-pass before proceeding</w:t>
            </w:r>
          </w:p>
        </w:tc>
      </w:tr>
    </w:tbl>
    <w:p>
      <w:pPr>
        <w:spacing w:after="40" w:before="40"/>
      </w:pPr>
    </w:p>
    <w:p>
      <w:pPr>
        <w:pBdr>
          <w:bottom w:val="single" w:color="1F3A7A" w:sz="8"/>
        </w:pBdr>
        <w:spacing w:after="200" w:before="200"/>
      </w:pPr>
    </w:p>
    <w:p>
      <w:pPr>
        <w:pStyle w:val="Heading1"/>
        <w:spacing w:after="120" w:before="400"/>
      </w:pPr>
      <w:r>
        <w:rPr>
          <w:b/>
          <w:bCs/>
          <w:color w:val="1F3A7A"/>
          <w:sz w:val="34"/>
          <w:szCs w:val="34"/>
        </w:rPr>
        <w:t xml:space="preserve">Explicitly Out of Scope — This Session</w:t>
      </w:r>
    </w:p>
    <w:p>
      <w:pPr>
        <w:spacing w:after="40" w:before="4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3600"/>
        <w:gridCol w:w="5760"/>
      </w:tblGrid>
      <w:tr>
        <w:tc>
          <w:tcPr>
            <w:tcW w:type="dxa" w:w="3600"/>
            <w:shd w:fill="EEF2F8" w:val="clear"/>
            <w:tcMar>
              <w:top w:type="dxa" w:w="80"/>
              <w:left w:type="dxa" w:w="120"/>
              <w:bottom w:type="dxa" w:w="80"/>
              <w:right w:type="dxa" w:w="120"/>
            </w:tcMar>
          </w:tcPr>
          <w:p>
            <w:r>
              <w:rPr>
                <w:b/>
                <w:bCs/>
                <w:color w:val="111111"/>
                <w:sz w:val="20"/>
                <w:szCs w:val="20"/>
              </w:rPr>
              <w:t xml:space="preserve">Item</w:t>
            </w:r>
          </w:p>
        </w:tc>
        <w:tc>
          <w:tcPr>
            <w:tcW w:type="dxa" w:w="5760"/>
            <w:shd w:fill="EEF2F8" w:val="clear"/>
            <w:tcMar>
              <w:top w:type="dxa" w:w="80"/>
              <w:left w:type="dxa" w:w="120"/>
              <w:bottom w:type="dxa" w:w="80"/>
              <w:right w:type="dxa" w:w="120"/>
            </w:tcMar>
          </w:tcPr>
          <w:p>
            <w:r>
              <w:rPr>
                <w:b/>
                <w:bCs/>
                <w:color w:val="111111"/>
                <w:sz w:val="20"/>
                <w:szCs w:val="20"/>
              </w:rPr>
              <w:t xml:space="preserve">Reason Deferred</w:t>
            </w:r>
          </w:p>
        </w:tc>
      </w:tr>
      <w:tr>
        <w:tc>
          <w:tcPr>
            <w:tcW w:type="dxa" w:w="3600"/>
            <w:tcMar>
              <w:top w:type="dxa" w:w="80"/>
              <w:left w:type="dxa" w:w="120"/>
              <w:bottom w:type="dxa" w:w="80"/>
              <w:right w:type="dxa" w:w="120"/>
            </w:tcMar>
          </w:tcPr>
          <w:p>
            <w:r>
              <w:rPr>
                <w:b w:val="false"/>
                <w:bCs w:val="false"/>
                <w:color w:val="111111"/>
                <w:sz w:val="20"/>
                <w:szCs w:val="20"/>
              </w:rPr>
              <w:t xml:space="preserve">Progressive disclosure (expandable cards)</w:t>
            </w:r>
          </w:p>
        </w:tc>
        <w:tc>
          <w:tcPr>
            <w:tcW w:type="dxa" w:w="5760"/>
            <w:tcMar>
              <w:top w:type="dxa" w:w="80"/>
              <w:left w:type="dxa" w:w="120"/>
              <w:bottom w:type="dxa" w:w="80"/>
              <w:right w:type="dxa" w:w="120"/>
            </w:tcMar>
          </w:tcPr>
          <w:p>
            <w:r>
              <w:rPr>
                <w:b w:val="false"/>
                <w:bCs w:val="false"/>
                <w:color w:val="111111"/>
                <w:sz w:val="20"/>
                <w:szCs w:val="20"/>
              </w:rPr>
              <w:t xml:space="preserve">Medium complexity. Next UI sprint after current changes stabilize.</w:t>
            </w:r>
          </w:p>
        </w:tc>
      </w:tr>
      <w:tr>
        <w:tc>
          <w:tcPr>
            <w:tcW w:type="dxa" w:w="3600"/>
            <w:tcMar>
              <w:top w:type="dxa" w:w="80"/>
              <w:left w:type="dxa" w:w="120"/>
              <w:bottom w:type="dxa" w:w="80"/>
              <w:right w:type="dxa" w:w="120"/>
            </w:tcMar>
          </w:tcPr>
          <w:p>
            <w:r>
              <w:rPr>
                <w:b w:val="false"/>
                <w:bCs w:val="false"/>
                <w:color w:val="111111"/>
                <w:sz w:val="20"/>
                <w:szCs w:val="20"/>
              </w:rPr>
              <w:t xml:space="preserve">Track Record calibration table (A5-3)</w:t>
            </w:r>
          </w:p>
        </w:tc>
        <w:tc>
          <w:tcPr>
            <w:tcW w:type="dxa" w:w="5760"/>
            <w:tcMar>
              <w:top w:type="dxa" w:w="80"/>
              <w:left w:type="dxa" w:w="120"/>
              <w:bottom w:type="dxa" w:w="80"/>
              <w:right w:type="dxa" w:w="120"/>
            </w:tcMar>
          </w:tcPr>
          <w:p>
            <w:r>
              <w:rPr>
                <w:b w:val="false"/>
                <w:bCs w:val="false"/>
                <w:color w:val="111111"/>
                <w:sz w:val="20"/>
                <w:szCs w:val="20"/>
              </w:rPr>
              <w:t xml:space="preserve">Gated on resolved Brier predictions (~2026-08-23 first data).</w:t>
            </w:r>
          </w:p>
        </w:tc>
      </w:tr>
      <w:tr>
        <w:tc>
          <w:tcPr>
            <w:tcW w:type="dxa" w:w="3600"/>
            <w:tcMar>
              <w:top w:type="dxa" w:w="80"/>
              <w:left w:type="dxa" w:w="120"/>
              <w:bottom w:type="dxa" w:w="80"/>
              <w:right w:type="dxa" w:w="120"/>
            </w:tcMar>
          </w:tcPr>
          <w:p>
            <w:r>
              <w:rPr>
                <w:b w:val="false"/>
                <w:bCs w:val="false"/>
                <w:color w:val="111111"/>
                <w:sz w:val="20"/>
                <w:szCs w:val="20"/>
              </w:rPr>
              <w:t xml:space="preserve">Navigation restructure (A5-4)</w:t>
            </w:r>
          </w:p>
        </w:tc>
        <w:tc>
          <w:tcPr>
            <w:tcW w:type="dxa" w:w="5760"/>
            <w:tcMar>
              <w:top w:type="dxa" w:w="80"/>
              <w:left w:type="dxa" w:w="120"/>
              <w:bottom w:type="dxa" w:w="80"/>
              <w:right w:type="dxa" w:w="120"/>
            </w:tcMar>
          </w:tcPr>
          <w:p>
            <w:r>
              <w:rPr>
                <w:b w:val="false"/>
                <w:bCs w:val="false"/>
                <w:color w:val="111111"/>
                <w:sz w:val="20"/>
                <w:szCs w:val="20"/>
              </w:rPr>
              <w:t xml:space="preserve">After current views stabilized.</w:t>
            </w:r>
          </w:p>
        </w:tc>
      </w:tr>
      <w:tr>
        <w:tc>
          <w:tcPr>
            <w:tcW w:type="dxa" w:w="3600"/>
            <w:tcMar>
              <w:top w:type="dxa" w:w="80"/>
              <w:left w:type="dxa" w:w="120"/>
              <w:bottom w:type="dxa" w:w="80"/>
              <w:right w:type="dxa" w:w="120"/>
            </w:tcMar>
          </w:tcPr>
          <w:p>
            <w:r>
              <w:rPr>
                <w:b w:val="false"/>
                <w:bCs w:val="false"/>
                <w:color w:val="111111"/>
                <w:sz w:val="20"/>
                <w:szCs w:val="20"/>
              </w:rPr>
              <w:t xml:space="preserve">Visual distinction for Asymmetry cards</w:t>
            </w:r>
          </w:p>
        </w:tc>
        <w:tc>
          <w:tcPr>
            <w:tcW w:type="dxa" w:w="5760"/>
            <w:tcMar>
              <w:top w:type="dxa" w:w="80"/>
              <w:left w:type="dxa" w:w="120"/>
              <w:bottom w:type="dxa" w:w="80"/>
              <w:right w:type="dxa" w:w="120"/>
            </w:tcMar>
          </w:tcPr>
          <w:p>
            <w:r>
              <w:rPr>
                <w:b w:val="false"/>
                <w:bCs w:val="false"/>
                <w:color w:val="111111"/>
                <w:sz w:val="20"/>
                <w:szCs w:val="20"/>
              </w:rPr>
              <w:t xml:space="preserve">Requires design mockup decision. Flag for next UI sprint.</w:t>
            </w:r>
          </w:p>
        </w:tc>
      </w:tr>
      <w:tr>
        <w:tc>
          <w:tcPr>
            <w:tcW w:type="dxa" w:w="3600"/>
            <w:tcMar>
              <w:top w:type="dxa" w:w="80"/>
              <w:left w:type="dxa" w:w="120"/>
              <w:bottom w:type="dxa" w:w="80"/>
              <w:right w:type="dxa" w:w="120"/>
            </w:tcMar>
          </w:tcPr>
          <w:p>
            <w:r>
              <w:rPr>
                <w:b w:val="false"/>
                <w:bCs w:val="false"/>
                <w:color w:val="111111"/>
                <w:sz w:val="20"/>
                <w:szCs w:val="20"/>
              </w:rPr>
              <w:t xml:space="preserve">Mobile legibility full implementation</w:t>
            </w:r>
          </w:p>
        </w:tc>
        <w:tc>
          <w:tcPr>
            <w:tcW w:type="dxa" w:w="5760"/>
            <w:tcMar>
              <w:top w:type="dxa" w:w="80"/>
              <w:left w:type="dxa" w:w="120"/>
              <w:bottom w:type="dxa" w:w="80"/>
              <w:right w:type="dxa" w:w="120"/>
            </w:tcMar>
          </w:tcPr>
          <w:p>
            <w:r>
              <w:rPr>
                <w:b w:val="false"/>
                <w:bCs w:val="false"/>
                <w:color w:val="111111"/>
                <w:sz w:val="20"/>
                <w:szCs w:val="20"/>
              </w:rPr>
              <w:t xml:space="preserve">Pre-Layer-2 sprint. Separate session.</w:t>
            </w:r>
          </w:p>
        </w:tc>
      </w:tr>
      <w:tr>
        <w:tc>
          <w:tcPr>
            <w:tcW w:type="dxa" w:w="3600"/>
            <w:tcMar>
              <w:top w:type="dxa" w:w="80"/>
              <w:left w:type="dxa" w:w="120"/>
              <w:bottom w:type="dxa" w:w="80"/>
              <w:right w:type="dxa" w:w="120"/>
            </w:tcMar>
          </w:tcPr>
          <w:p>
            <w:r>
              <w:rPr>
                <w:b w:val="false"/>
                <w:bCs w:val="false"/>
                <w:color w:val="111111"/>
                <w:sz w:val="20"/>
                <w:szCs w:val="20"/>
              </w:rPr>
              <w:t xml:space="preserve">SOL cross-venue data fetch</w:t>
            </w:r>
          </w:p>
        </w:tc>
        <w:tc>
          <w:tcPr>
            <w:tcW w:type="dxa" w:w="5760"/>
            <w:tcMar>
              <w:top w:type="dxa" w:w="80"/>
              <w:left w:type="dxa" w:w="120"/>
              <w:bottom w:type="dxa" w:w="80"/>
              <w:right w:type="dxa" w:w="120"/>
            </w:tcMar>
          </w:tcPr>
          <w:p>
            <w:r>
              <w:rPr>
                <w:b w:val="false"/>
                <w:bCs w:val="false"/>
                <w:color w:val="111111"/>
                <w:sz w:val="20"/>
                <w:szCs w:val="20"/>
              </w:rPr>
              <w:t xml:space="preserve">Native DVOL not verified. Placeholder only.</w:t>
            </w:r>
          </w:p>
        </w:tc>
      </w:tr>
      <w:tr>
        <w:tc>
          <w:tcPr>
            <w:tcW w:type="dxa" w:w="3600"/>
            <w:tcMar>
              <w:top w:type="dxa" w:w="80"/>
              <w:left w:type="dxa" w:w="120"/>
              <w:bottom w:type="dxa" w:w="80"/>
              <w:right w:type="dxa" w:w="120"/>
            </w:tcMar>
          </w:tcPr>
          <w:p>
            <w:r>
              <w:rPr>
                <w:b w:val="false"/>
                <w:bCs w:val="false"/>
                <w:color w:val="111111"/>
                <w:sz w:val="20"/>
                <w:szCs w:val="20"/>
              </w:rPr>
              <w:t xml:space="preserve">DOGE / SHIB blocks</w:t>
            </w:r>
          </w:p>
        </w:tc>
        <w:tc>
          <w:tcPr>
            <w:tcW w:type="dxa" w:w="5760"/>
            <w:tcMar>
              <w:top w:type="dxa" w:w="80"/>
              <w:left w:type="dxa" w:w="120"/>
              <w:bottom w:type="dxa" w:w="80"/>
              <w:right w:type="dxa" w:w="120"/>
            </w:tcMar>
          </w:tcPr>
          <w:p>
            <w:r>
              <w:rPr>
                <w:b w:val="false"/>
                <w:bCs w:val="false"/>
                <w:color w:val="111111"/>
                <w:sz w:val="20"/>
                <w:szCs w:val="20"/>
              </w:rPr>
              <w:t xml:space="preserve">ETF options liquidity and native vol signal TBD.</w:t>
            </w:r>
          </w:p>
        </w:tc>
      </w:tr>
      <w:tr>
        <w:tc>
          <w:tcPr>
            <w:tcW w:type="dxa" w:w="3600"/>
            <w:tcMar>
              <w:top w:type="dxa" w:w="80"/>
              <w:left w:type="dxa" w:w="120"/>
              <w:bottom w:type="dxa" w:w="80"/>
              <w:right w:type="dxa" w:w="120"/>
            </w:tcMar>
          </w:tcPr>
          <w:p>
            <w:r>
              <w:rPr>
                <w:b w:val="false"/>
                <w:bCs w:val="false"/>
                <w:color w:val="111111"/>
                <w:sz w:val="20"/>
                <w:szCs w:val="20"/>
              </w:rPr>
              <w:t xml:space="preserve">P&amp;L payoff diagram 2-mode extension</w:t>
            </w:r>
          </w:p>
        </w:tc>
        <w:tc>
          <w:tcPr>
            <w:tcW w:type="dxa" w:w="5760"/>
            <w:tcMar>
              <w:top w:type="dxa" w:w="80"/>
              <w:left w:type="dxa" w:w="120"/>
              <w:bottom w:type="dxa" w:w="80"/>
              <w:right w:type="dxa" w:w="120"/>
            </w:tcMar>
          </w:tcPr>
          <w:p>
            <w:r>
              <w:rPr>
                <w:b w:val="false"/>
                <w:bCs w:val="false"/>
                <w:color w:val="111111"/>
                <w:sz w:val="20"/>
                <w:szCs w:val="20"/>
              </w:rPr>
              <w:t xml:space="preserve">Pending data quality log (prior brief P1-7).</w:t>
            </w:r>
          </w:p>
        </w:tc>
      </w:tr>
      <w:tr>
        <w:tc>
          <w:tcPr>
            <w:tcW w:type="dxa" w:w="3600"/>
            <w:tcMar>
              <w:top w:type="dxa" w:w="80"/>
              <w:left w:type="dxa" w:w="120"/>
              <w:bottom w:type="dxa" w:w="80"/>
              <w:right w:type="dxa" w:w="120"/>
            </w:tcMar>
          </w:tcPr>
          <w:p>
            <w:r>
              <w:rPr>
                <w:b w:val="false"/>
                <w:bCs w:val="false"/>
                <w:color w:val="111111"/>
                <w:sz w:val="20"/>
                <w:szCs w:val="20"/>
              </w:rPr>
              <w:t xml:space="preserve">Dynamic calibration engine (n≥30)</w:t>
            </w:r>
          </w:p>
        </w:tc>
        <w:tc>
          <w:tcPr>
            <w:tcW w:type="dxa" w:w="5760"/>
            <w:tcMar>
              <w:top w:type="dxa" w:w="80"/>
              <w:left w:type="dxa" w:w="120"/>
              <w:bottom w:type="dxa" w:w="80"/>
              <w:right w:type="dxa" w:w="120"/>
            </w:tcMar>
          </w:tcPr>
          <w:p>
            <w:r>
              <w:rPr>
                <w:b w:val="false"/>
                <w:bCs w:val="false"/>
                <w:color w:val="111111"/>
                <w:sz w:val="20"/>
                <w:szCs w:val="20"/>
              </w:rPr>
              <w:t xml:space="preserve">Gated on 30 clean closed trades.</w:t>
            </w:r>
          </w:p>
        </w:tc>
      </w:tr>
      <w:tr>
        <w:tc>
          <w:tcPr>
            <w:tcW w:type="dxa" w:w="3600"/>
            <w:tcMar>
              <w:top w:type="dxa" w:w="80"/>
              <w:left w:type="dxa" w:w="120"/>
              <w:bottom w:type="dxa" w:w="80"/>
              <w:right w:type="dxa" w:w="120"/>
            </w:tcMar>
          </w:tcPr>
          <w:p>
            <w:r>
              <w:rPr>
                <w:b w:val="false"/>
                <w:bCs w:val="false"/>
                <w:color w:val="111111"/>
                <w:sz w:val="20"/>
                <w:szCs w:val="20"/>
              </w:rPr>
              <w:t xml:space="preserve">Sprint 2 textbook constant calibration</w:t>
            </w:r>
          </w:p>
        </w:tc>
        <w:tc>
          <w:tcPr>
            <w:tcW w:type="dxa" w:w="5760"/>
            <w:tcMar>
              <w:top w:type="dxa" w:w="80"/>
              <w:left w:type="dxa" w:w="120"/>
              <w:bottom w:type="dxa" w:w="80"/>
              <w:right w:type="dxa" w:w="120"/>
            </w:tcMar>
          </w:tcPr>
          <w:p>
            <w:r>
              <w:rPr>
                <w:b w:val="false"/>
                <w:bCs w:val="false"/>
                <w:color w:val="111111"/>
                <w:sz w:val="20"/>
                <w:szCs w:val="20"/>
              </w:rPr>
              <w:t xml:space="preserve">Depends on clean cohort data.</w:t>
            </w:r>
          </w:p>
        </w:tc>
      </w:tr>
    </w:tbl>
    <w:p>
      <w:pPr>
        <w:spacing w:after="40" w:before="40"/>
      </w:pPr>
    </w:p>
    <w:p>
      <w:pPr>
        <w:pBdr>
          <w:bottom w:val="single" w:color="1F3A7A" w:sz="8"/>
        </w:pBdr>
        <w:spacing w:after="200" w:before="200"/>
      </w:pPr>
    </w:p>
    <w:p>
      <w:pPr>
        <w:spacing w:before="80"/>
      </w:pPr>
      <w:r>
        <w:rPr>
          <w:i/>
          <w:iCs/>
          <w:color w:val="888888"/>
          <w:sz w:val="18"/>
          <w:szCs w:val="18"/>
        </w:rPr>
        <w:t xml:space="preserve">VEGA / BeardedVentures · personal beta · not financial advice · no orders are placed</w:t>
      </w:r>
    </w:p>
    <w:p>
      <w:pPr>
        <w:spacing w:before="40"/>
      </w:pPr>
      <w:r>
        <w:rPr>
          <w:i/>
          <w:iCs/>
          <w:color w:val="888888"/>
          <w:sz w:val="18"/>
          <w:szCs w:val="18"/>
        </w:rPr>
        <w:t xml:space="preserve">Master brief (Final) · 2026-08-11 · Incorporates Claude session review + GPT-4o independent UI review · all three screenshots + full session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2026-08-11T13:36:02.422Z</dcterms:created>
  <dcterms:modified xsi:type="dcterms:W3CDTF">2026-08-11T13:36:02.436Z</dcterms:modified>
</cp:coreProperties>
</file>

<file path=docProps/custom.xml><?xml version="1.0" encoding="utf-8"?>
<Properties xmlns="http://schemas.openxmlformats.org/officeDocument/2006/custom-properties" xmlns:vt="http://schemas.openxmlformats.org/officeDocument/2006/docPropsVTypes"/>
</file>