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40"/>
        </w:rPr>
        <w:t>智能锁系统性能与安全性测试总结</w:t>
      </w:r>
    </w:p>
    <w:p>
      <w:pPr>
        <w:spacing w:before="240" w:after="120"/>
      </w:pPr>
      <w:r>
        <w:rPr>
          <w:rFonts w:ascii="Times New Roman" w:hAnsi="Times New Roman" w:eastAsia="宋体"/>
          <w:b/>
          <w:sz w:val="32"/>
        </w:rPr>
        <w:t>一、测试概述</w:t>
      </w:r>
    </w:p>
    <w:p>
      <w:pPr>
        <w:spacing w:line="360" w:lineRule="auto"/>
        <w:ind w:firstLine="420"/>
      </w:pPr>
      <w:r>
        <w:rPr>
          <w:rFonts w:ascii="Times New Roman" w:hAnsi="Times New Roman" w:eastAsia="宋体"/>
          <w:b w:val="0"/>
          <w:sz w:val="22"/>
        </w:rPr>
        <w:t>本章围绕基于“Flask 后端 + Vue 前端 + 树莓派网关 + 人脸识别”的智能锁系统，从四个维度进行系统性测试：接口负载测试、端到端时延测试、人脸识别准确率测试、安全性测试。测试目标是量化系统在真实使用场景下的响应能力、稳定性和安全边界，为项目验收与后续优化提供数据依据。</w:t>
      </w:r>
    </w:p>
    <w:p>
      <w:pPr>
        <w:spacing w:line="360" w:lineRule="auto"/>
        <w:ind w:firstLine="420"/>
      </w:pPr>
      <w:r>
        <w:rPr>
          <w:rFonts w:ascii="Times New Roman" w:hAnsi="Times New Roman" w:eastAsia="宋体"/>
          <w:b w:val="0"/>
          <w:sz w:val="22"/>
        </w:rPr>
        <w:t>测试环境统一说明如下。后端部署在联调开发机上（Windows 11，Intel i5 处理器，16 GB 内存，SQLite 数据库），后端框架为 Flask 2.3 + Flask-SQLAlchemy 3.0 + Flask-JWT-Extended 4.5，密码使用 Flask-Bcrypt 加盐哈希存储。前端为 Vue 2 单页应用，通过 Axios 与后端 REST 接口通信。树莓派网关运行基于 OpenCV DNN 的人脸检测与 embedding 提取模块，通过 HTTP 与后端交互。所有测试脚本和产出结果均归档于 BE_smart_lock/smart_lock/tests/perf/，具备可复现性。</w:t>
      </w:r>
    </w:p>
    <w:p>
      <w:pPr>
        <w:spacing w:before="240" w:after="120"/>
      </w:pPr>
      <w:r>
        <w:rPr>
          <w:rFonts w:ascii="Times New Roman" w:hAnsi="Times New Roman" w:eastAsia="宋体"/>
          <w:b/>
          <w:sz w:val="32"/>
        </w:rPr>
        <w:t>二、接口负载测试</w:t>
      </w:r>
    </w:p>
    <w:p>
      <w:pPr>
        <w:spacing w:before="240" w:after="120"/>
      </w:pPr>
      <w:r>
        <w:rPr>
          <w:rFonts w:ascii="Times New Roman" w:hAnsi="Times New Roman" w:eastAsia="宋体"/>
          <w:b/>
          <w:sz w:val="28"/>
        </w:rPr>
        <w:t>2.1 测试目的与工具</w:t>
      </w:r>
    </w:p>
    <w:p>
      <w:pPr>
        <w:spacing w:line="360" w:lineRule="auto"/>
        <w:ind w:firstLine="420"/>
      </w:pPr>
      <w:r>
        <w:rPr>
          <w:rFonts w:ascii="Times New Roman" w:hAnsi="Times New Roman" w:eastAsia="宋体"/>
          <w:b w:val="0"/>
          <w:sz w:val="22"/>
        </w:rPr>
        <w:t>接口负载测试用于量化后端在不同并发压力下的吞吐能力和响应质量，识别高并发瓶颈。测试采用开源工具 Locust 2.x，用 Python 编写虚拟用户行为脚本，通过 headless 命令行模式启动。相较于 Apache Bench 单接口测试，Locust 能模拟真实用户在多个接口之间的行为组合，更贴近生产环境。</w:t>
      </w:r>
    </w:p>
    <w:p>
      <w:pPr>
        <w:spacing w:before="240" w:after="120"/>
      </w:pPr>
      <w:r>
        <w:rPr>
          <w:rFonts w:ascii="Times New Roman" w:hAnsi="Times New Roman" w:eastAsia="宋体"/>
          <w:b/>
          <w:sz w:val="28"/>
        </w:rPr>
        <w:t>2.2 测试方案</w:t>
      </w:r>
    </w:p>
    <w:p>
      <w:pPr>
        <w:spacing w:line="360" w:lineRule="auto"/>
        <w:ind w:firstLine="420"/>
      </w:pPr>
      <w:r>
        <w:rPr>
          <w:rFonts w:ascii="Times New Roman" w:hAnsi="Times New Roman" w:eastAsia="宋体"/>
          <w:b w:val="0"/>
          <w:sz w:val="22"/>
        </w:rPr>
        <w:t>在压测前先执行 prepare_data.py，批量创建 perf_user_001 ~ perf_user_020 共 20 个测试账号，将账号状态直接置为 approved 并绑定测试设备 door_01，同时兜底写入 30 条访问日志与人脸识别日志，避免分页接口返回空。</w:t>
      </w:r>
    </w:p>
    <w:p>
      <w:pPr>
        <w:spacing w:line="360" w:lineRule="auto"/>
        <w:ind w:firstLine="420"/>
      </w:pPr>
      <w:r>
        <w:rPr>
          <w:rFonts w:ascii="Times New Roman" w:hAnsi="Times New Roman" w:eastAsia="宋体"/>
          <w:b w:val="0"/>
          <w:sz w:val="22"/>
        </w:rPr>
        <w:t>locustfile.py 定义了两类虚拟用户：SmartLockUser 模拟登录后的常规操作组合，LoginOnlyUser 用于单独评估登录接口性能。前者按真实使用频率对九个核心接口分配权重，权重分配见【表 2-1】。</w:t>
      </w:r>
    </w:p>
    <w:p>
      <w:pPr>
        <w:jc w:val="center"/>
      </w:pPr>
      <w:r>
        <w:rPr>
          <w:rFonts w:ascii="Times New Roman" w:hAnsi="Times New Roman" w:eastAsia="宋体"/>
          <w:b/>
          <w:color w:val="C0504D"/>
          <w:sz w:val="20"/>
        </w:rPr>
        <w:t>【表 2-1】接口权重与用户行为模型</w:t>
      </w:r>
    </w:p>
    <w:tbl>
      <w:tblPr>
        <w:tblStyle w:val="LightGrid-Accent1"/>
        <w:tblW w:type="auto" w:w="0"/>
        <w:tblLook w:firstColumn="1" w:firstRow="1" w:lastColumn="0" w:lastRow="0" w:noHBand="0" w:noVBand="1" w:val="04A0"/>
      </w:tblPr>
      <w:tblGrid>
        <w:gridCol w:w="2351"/>
        <w:gridCol w:w="2351"/>
        <w:gridCol w:w="2351"/>
        <w:gridCol w:w="2351"/>
      </w:tblGrid>
      <w:tr>
        <w:tc>
          <w:tcPr>
            <w:tcW w:type="dxa" w:w="3118"/>
            <w:vAlign w:val="center"/>
          </w:tcPr>
          <w:p>
            <w:pPr>
              <w:jc w:val="center"/>
            </w:pPr>
            <w:r/>
            <w:r>
              <w:rPr>
                <w:rFonts w:ascii="Times New Roman" w:hAnsi="Times New Roman" w:eastAsia="宋体"/>
                <w:b/>
                <w:sz w:val="20"/>
              </w:rPr>
              <w:t>接口</w:t>
            </w:r>
          </w:p>
        </w:tc>
        <w:tc>
          <w:tcPr>
            <w:tcW w:type="dxa" w:w="1134"/>
            <w:vAlign w:val="center"/>
          </w:tcPr>
          <w:p>
            <w:pPr>
              <w:jc w:val="center"/>
            </w:pPr>
            <w:r/>
            <w:r>
              <w:rPr>
                <w:rFonts w:ascii="Times New Roman" w:hAnsi="Times New Roman" w:eastAsia="宋体"/>
                <w:b/>
                <w:sz w:val="20"/>
              </w:rPr>
              <w:t>方法</w:t>
            </w:r>
          </w:p>
        </w:tc>
        <w:tc>
          <w:tcPr>
            <w:tcW w:type="dxa" w:w="1020"/>
            <w:vAlign w:val="center"/>
          </w:tcPr>
          <w:p>
            <w:pPr>
              <w:jc w:val="center"/>
            </w:pPr>
            <w:r/>
            <w:r>
              <w:rPr>
                <w:rFonts w:ascii="Times New Roman" w:hAnsi="Times New Roman" w:eastAsia="宋体"/>
                <w:b/>
                <w:sz w:val="20"/>
              </w:rPr>
              <w:t>权重</w:t>
            </w:r>
          </w:p>
        </w:tc>
        <w:tc>
          <w:tcPr>
            <w:tcW w:type="dxa" w:w="2835"/>
            <w:vAlign w:val="center"/>
          </w:tcPr>
          <w:p>
            <w:pPr>
              <w:jc w:val="center"/>
            </w:pPr>
            <w:r/>
            <w:r>
              <w:rPr>
                <w:rFonts w:ascii="Times New Roman" w:hAnsi="Times New Roman" w:eastAsia="宋体"/>
                <w:b/>
                <w:sz w:val="20"/>
              </w:rPr>
              <w:t>说明</w:t>
            </w:r>
          </w:p>
        </w:tc>
      </w:tr>
      <w:tr>
        <w:tc>
          <w:tcPr>
            <w:tcW w:type="dxa" w:w="3118"/>
            <w:vAlign w:val="center"/>
          </w:tcPr>
          <w:p>
            <w:pPr>
              <w:jc w:val="center"/>
            </w:pPr>
            <w:r/>
            <w:r>
              <w:rPr>
                <w:rFonts w:ascii="Times New Roman" w:hAnsi="Times New Roman" w:eastAsia="宋体"/>
                <w:sz w:val="20"/>
              </w:rPr>
              <w:t>/api/lock/status</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8</w:t>
            </w:r>
          </w:p>
        </w:tc>
        <w:tc>
          <w:tcPr>
            <w:tcW w:type="dxa" w:w="2835"/>
            <w:vAlign w:val="center"/>
          </w:tcPr>
          <w:p>
            <w:pPr>
              <w:jc w:val="center"/>
            </w:pPr>
            <w:r/>
            <w:r>
              <w:rPr>
                <w:rFonts w:ascii="Times New Roman" w:hAnsi="Times New Roman" w:eastAsia="宋体"/>
                <w:sz w:val="20"/>
              </w:rPr>
              <w:t>前端轮询</w:t>
            </w:r>
          </w:p>
        </w:tc>
      </w:tr>
      <w:tr>
        <w:tc>
          <w:tcPr>
            <w:tcW w:type="dxa" w:w="3118"/>
            <w:vAlign w:val="center"/>
          </w:tcPr>
          <w:p>
            <w:pPr>
              <w:jc w:val="center"/>
            </w:pPr>
            <w:r/>
            <w:r>
              <w:rPr>
                <w:rFonts w:ascii="Times New Roman" w:hAnsi="Times New Roman" w:eastAsia="宋体"/>
                <w:sz w:val="20"/>
              </w:rPr>
              <w:t>/api/lock/history</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6</w:t>
            </w:r>
          </w:p>
        </w:tc>
        <w:tc>
          <w:tcPr>
            <w:tcW w:type="dxa" w:w="2835"/>
            <w:vAlign w:val="center"/>
          </w:tcPr>
          <w:p>
            <w:pPr>
              <w:jc w:val="center"/>
            </w:pPr>
            <w:r/>
            <w:r>
              <w:rPr>
                <w:rFonts w:ascii="Times New Roman" w:hAnsi="Times New Roman" w:eastAsia="宋体"/>
                <w:sz w:val="20"/>
              </w:rPr>
              <w:t>历史分页查询</w:t>
            </w:r>
          </w:p>
        </w:tc>
      </w:tr>
      <w:tr>
        <w:tc>
          <w:tcPr>
            <w:tcW w:type="dxa" w:w="3118"/>
            <w:vAlign w:val="center"/>
          </w:tcPr>
          <w:p>
            <w:pPr>
              <w:jc w:val="center"/>
            </w:pPr>
            <w:r/>
            <w:r>
              <w:rPr>
                <w:rFonts w:ascii="Times New Roman" w:hAnsi="Times New Roman" w:eastAsia="宋体"/>
                <w:sz w:val="20"/>
              </w:rPr>
              <w:t>/api/mfa/status</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4</w:t>
            </w:r>
          </w:p>
        </w:tc>
        <w:tc>
          <w:tcPr>
            <w:tcW w:type="dxa" w:w="2835"/>
            <w:vAlign w:val="center"/>
          </w:tcPr>
          <w:p>
            <w:pPr>
              <w:jc w:val="center"/>
            </w:pPr>
            <w:r/>
            <w:r>
              <w:rPr>
                <w:rFonts w:ascii="Times New Roman" w:hAnsi="Times New Roman" w:eastAsia="宋体"/>
                <w:sz w:val="20"/>
              </w:rPr>
              <w:t>MFA 状态检查</w:t>
            </w:r>
          </w:p>
        </w:tc>
      </w:tr>
      <w:tr>
        <w:tc>
          <w:tcPr>
            <w:tcW w:type="dxa" w:w="3118"/>
            <w:vAlign w:val="center"/>
          </w:tcPr>
          <w:p>
            <w:pPr>
              <w:jc w:val="center"/>
            </w:pPr>
            <w:r/>
            <w:r>
              <w:rPr>
                <w:rFonts w:ascii="Times New Roman" w:hAnsi="Times New Roman" w:eastAsia="宋体"/>
                <w:sz w:val="20"/>
              </w:rPr>
              <w:t>/api/device/status</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3</w:t>
            </w:r>
          </w:p>
        </w:tc>
        <w:tc>
          <w:tcPr>
            <w:tcW w:type="dxa" w:w="2835"/>
            <w:vAlign w:val="center"/>
          </w:tcPr>
          <w:p>
            <w:pPr>
              <w:jc w:val="center"/>
            </w:pPr>
            <w:r/>
            <w:r>
              <w:rPr>
                <w:rFonts w:ascii="Times New Roman" w:hAnsi="Times New Roman" w:eastAsia="宋体"/>
                <w:sz w:val="20"/>
              </w:rPr>
              <w:t>设备在线状态</w:t>
            </w:r>
          </w:p>
        </w:tc>
      </w:tr>
      <w:tr>
        <w:tc>
          <w:tcPr>
            <w:tcW w:type="dxa" w:w="3118"/>
            <w:vAlign w:val="center"/>
          </w:tcPr>
          <w:p>
            <w:pPr>
              <w:jc w:val="center"/>
            </w:pPr>
            <w:r/>
            <w:r>
              <w:rPr>
                <w:rFonts w:ascii="Times New Roman" w:hAnsi="Times New Roman" w:eastAsia="宋体"/>
                <w:sz w:val="20"/>
              </w:rPr>
              <w:t>/api/face/logs</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2</w:t>
            </w:r>
          </w:p>
        </w:tc>
        <w:tc>
          <w:tcPr>
            <w:tcW w:type="dxa" w:w="2835"/>
            <w:vAlign w:val="center"/>
          </w:tcPr>
          <w:p>
            <w:pPr>
              <w:jc w:val="center"/>
            </w:pPr>
            <w:r/>
            <w:r>
              <w:rPr>
                <w:rFonts w:ascii="Times New Roman" w:hAnsi="Times New Roman" w:eastAsia="宋体"/>
                <w:sz w:val="20"/>
              </w:rPr>
              <w:t>人脸识别日志</w:t>
            </w:r>
          </w:p>
        </w:tc>
      </w:tr>
      <w:tr>
        <w:tc>
          <w:tcPr>
            <w:tcW w:type="dxa" w:w="3118"/>
            <w:vAlign w:val="center"/>
          </w:tcPr>
          <w:p>
            <w:pPr>
              <w:jc w:val="center"/>
            </w:pPr>
            <w:r/>
            <w:r>
              <w:rPr>
                <w:rFonts w:ascii="Times New Roman" w:hAnsi="Times New Roman" w:eastAsia="宋体"/>
                <w:sz w:val="20"/>
              </w:rPr>
              <w:t>/api/alarms</w:t>
            </w:r>
          </w:p>
        </w:tc>
        <w:tc>
          <w:tcPr>
            <w:tcW w:type="dxa" w:w="1134"/>
            <w:vAlign w:val="center"/>
          </w:tcPr>
          <w:p>
            <w:pPr>
              <w:jc w:val="center"/>
            </w:pPr>
            <w:r/>
            <w:r>
              <w:rPr>
                <w:rFonts w:ascii="Times New Roman" w:hAnsi="Times New Roman" w:eastAsia="宋体"/>
                <w:sz w:val="20"/>
              </w:rPr>
              <w:t>GET</w:t>
            </w:r>
          </w:p>
        </w:tc>
        <w:tc>
          <w:tcPr>
            <w:tcW w:type="dxa" w:w="1020"/>
            <w:vAlign w:val="center"/>
          </w:tcPr>
          <w:p>
            <w:pPr>
              <w:jc w:val="center"/>
            </w:pPr>
            <w:r/>
            <w:r>
              <w:rPr>
                <w:rFonts w:ascii="Times New Roman" w:hAnsi="Times New Roman" w:eastAsia="宋体"/>
                <w:sz w:val="20"/>
              </w:rPr>
              <w:t>2</w:t>
            </w:r>
          </w:p>
        </w:tc>
        <w:tc>
          <w:tcPr>
            <w:tcW w:type="dxa" w:w="2835"/>
            <w:vAlign w:val="center"/>
          </w:tcPr>
          <w:p>
            <w:pPr>
              <w:jc w:val="center"/>
            </w:pPr>
            <w:r/>
            <w:r>
              <w:rPr>
                <w:rFonts w:ascii="Times New Roman" w:hAnsi="Times New Roman" w:eastAsia="宋体"/>
                <w:sz w:val="20"/>
              </w:rPr>
              <w:t>告警列表</w:t>
            </w:r>
          </w:p>
        </w:tc>
      </w:tr>
      <w:tr>
        <w:tc>
          <w:tcPr>
            <w:tcW w:type="dxa" w:w="3118"/>
            <w:vAlign w:val="center"/>
          </w:tcPr>
          <w:p>
            <w:pPr>
              <w:jc w:val="center"/>
            </w:pPr>
            <w:r/>
            <w:r>
              <w:rPr>
                <w:rFonts w:ascii="Times New Roman" w:hAnsi="Times New Roman" w:eastAsia="宋体"/>
                <w:sz w:val="20"/>
              </w:rPr>
              <w:t>/api/lock/control</w:t>
            </w:r>
          </w:p>
        </w:tc>
        <w:tc>
          <w:tcPr>
            <w:tcW w:type="dxa" w:w="1134"/>
            <w:vAlign w:val="center"/>
          </w:tcPr>
          <w:p>
            <w:pPr>
              <w:jc w:val="center"/>
            </w:pPr>
            <w:r/>
            <w:r>
              <w:rPr>
                <w:rFonts w:ascii="Times New Roman" w:hAnsi="Times New Roman" w:eastAsia="宋体"/>
                <w:sz w:val="20"/>
              </w:rPr>
              <w:t>POST</w:t>
            </w:r>
          </w:p>
        </w:tc>
        <w:tc>
          <w:tcPr>
            <w:tcW w:type="dxa" w:w="1020"/>
            <w:vAlign w:val="center"/>
          </w:tcPr>
          <w:p>
            <w:pPr>
              <w:jc w:val="center"/>
            </w:pPr>
            <w:r/>
            <w:r>
              <w:rPr>
                <w:rFonts w:ascii="Times New Roman" w:hAnsi="Times New Roman" w:eastAsia="宋体"/>
                <w:sz w:val="20"/>
              </w:rPr>
              <w:t>2</w:t>
            </w:r>
          </w:p>
        </w:tc>
        <w:tc>
          <w:tcPr>
            <w:tcW w:type="dxa" w:w="2835"/>
            <w:vAlign w:val="center"/>
          </w:tcPr>
          <w:p>
            <w:pPr>
              <w:jc w:val="center"/>
            </w:pPr>
            <w:r/>
            <w:r>
              <w:rPr>
                <w:rFonts w:ascii="Times New Roman" w:hAnsi="Times New Roman" w:eastAsia="宋体"/>
                <w:sz w:val="20"/>
              </w:rPr>
              <w:t>门锁翻转</w:t>
            </w:r>
          </w:p>
        </w:tc>
      </w:tr>
      <w:tr>
        <w:tc>
          <w:tcPr>
            <w:tcW w:type="dxa" w:w="3118"/>
            <w:vAlign w:val="center"/>
          </w:tcPr>
          <w:p>
            <w:pPr>
              <w:jc w:val="center"/>
            </w:pPr>
            <w:r/>
            <w:r>
              <w:rPr>
                <w:rFonts w:ascii="Times New Roman" w:hAnsi="Times New Roman" w:eastAsia="宋体"/>
                <w:sz w:val="20"/>
              </w:rPr>
              <w:t>/api/mfa/open-door/request</w:t>
            </w:r>
          </w:p>
        </w:tc>
        <w:tc>
          <w:tcPr>
            <w:tcW w:type="dxa" w:w="1134"/>
            <w:vAlign w:val="center"/>
          </w:tcPr>
          <w:p>
            <w:pPr>
              <w:jc w:val="center"/>
            </w:pPr>
            <w:r/>
            <w:r>
              <w:rPr>
                <w:rFonts w:ascii="Times New Roman" w:hAnsi="Times New Roman" w:eastAsia="宋体"/>
                <w:sz w:val="20"/>
              </w:rPr>
              <w:t>POST</w:t>
            </w:r>
          </w:p>
        </w:tc>
        <w:tc>
          <w:tcPr>
            <w:tcW w:type="dxa" w:w="1020"/>
            <w:vAlign w:val="center"/>
          </w:tcPr>
          <w:p>
            <w:pPr>
              <w:jc w:val="center"/>
            </w:pPr>
            <w:r/>
            <w:r>
              <w:rPr>
                <w:rFonts w:ascii="Times New Roman" w:hAnsi="Times New Roman" w:eastAsia="宋体"/>
                <w:sz w:val="20"/>
              </w:rPr>
              <w:t>1</w:t>
            </w:r>
          </w:p>
        </w:tc>
        <w:tc>
          <w:tcPr>
            <w:tcW w:type="dxa" w:w="2835"/>
            <w:vAlign w:val="center"/>
          </w:tcPr>
          <w:p>
            <w:pPr>
              <w:jc w:val="center"/>
            </w:pPr>
            <w:r/>
            <w:r>
              <w:rPr>
                <w:rFonts w:ascii="Times New Roman" w:hAnsi="Times New Roman" w:eastAsia="宋体"/>
                <w:sz w:val="20"/>
              </w:rPr>
              <w:t>开门发起（关键链路）</w:t>
            </w:r>
          </w:p>
        </w:tc>
      </w:tr>
      <w:tr>
        <w:tc>
          <w:tcPr>
            <w:tcW w:type="dxa" w:w="3118"/>
            <w:vAlign w:val="center"/>
          </w:tcPr>
          <w:p>
            <w:pPr>
              <w:jc w:val="center"/>
            </w:pPr>
            <w:r/>
            <w:r>
              <w:rPr>
                <w:rFonts w:ascii="Times New Roman" w:hAnsi="Times New Roman" w:eastAsia="宋体"/>
                <w:sz w:val="20"/>
              </w:rPr>
              <w:t>/api/login</w:t>
            </w:r>
          </w:p>
        </w:tc>
        <w:tc>
          <w:tcPr>
            <w:tcW w:type="dxa" w:w="1134"/>
            <w:vAlign w:val="center"/>
          </w:tcPr>
          <w:p>
            <w:pPr>
              <w:jc w:val="center"/>
            </w:pPr>
            <w:r/>
            <w:r>
              <w:rPr>
                <w:rFonts w:ascii="Times New Roman" w:hAnsi="Times New Roman" w:eastAsia="宋体"/>
                <w:sz w:val="20"/>
              </w:rPr>
              <w:t>POST</w:t>
            </w:r>
          </w:p>
        </w:tc>
        <w:tc>
          <w:tcPr>
            <w:tcW w:type="dxa" w:w="1020"/>
            <w:vAlign w:val="center"/>
          </w:tcPr>
          <w:p>
            <w:pPr>
              <w:jc w:val="center"/>
            </w:pPr>
            <w:r/>
            <w:r>
              <w:rPr>
                <w:rFonts w:ascii="Times New Roman" w:hAnsi="Times New Roman" w:eastAsia="宋体"/>
                <w:sz w:val="20"/>
              </w:rPr>
              <w:t>—</w:t>
            </w:r>
          </w:p>
        </w:tc>
        <w:tc>
          <w:tcPr>
            <w:tcW w:type="dxa" w:w="2835"/>
            <w:vAlign w:val="center"/>
          </w:tcPr>
          <w:p>
            <w:pPr>
              <w:jc w:val="center"/>
            </w:pPr>
            <w:r/>
            <w:r>
              <w:rPr>
                <w:rFonts w:ascii="Times New Roman" w:hAnsi="Times New Roman" w:eastAsia="宋体"/>
                <w:sz w:val="20"/>
              </w:rPr>
              <w:t>虚拟用户上线时执行一次</w:t>
            </w:r>
          </w:p>
        </w:tc>
      </w:tr>
    </w:tbl>
    <w:p/>
    <w:p>
      <w:pPr>
        <w:spacing w:line="360" w:lineRule="auto"/>
        <w:ind w:firstLine="420"/>
      </w:pPr>
      <w:r>
        <w:rPr>
          <w:rFonts w:ascii="Times New Roman" w:hAnsi="Times New Roman" w:eastAsia="宋体"/>
          <w:b w:val="0"/>
          <w:sz w:val="22"/>
        </w:rPr>
        <w:t>压测分三个并发档位：10、50、100，每档持续 2 分钟，每档结束后间隔 5 秒让服务喘息。虚拟用户以每秒 20 的速率增长（spawn-rate=20）。全部产出落到 results/ 目录，包括各档的 stats.csv、stats_history.csv、failures.csv 与 HTML 报告。</w:t>
      </w:r>
    </w:p>
    <w:p>
      <w:pPr>
        <w:spacing w:before="240" w:after="120"/>
      </w:pPr>
      <w:r>
        <w:rPr>
          <w:rFonts w:ascii="Times New Roman" w:hAnsi="Times New Roman" w:eastAsia="宋体"/>
          <w:b/>
          <w:sz w:val="28"/>
        </w:rPr>
        <w:t>2.3 测试结果</w:t>
      </w:r>
    </w:p>
    <w:p>
      <w:pPr>
        <w:spacing w:line="360" w:lineRule="auto"/>
        <w:ind w:firstLine="420"/>
      </w:pPr>
      <w:r>
        <w:rPr>
          <w:rFonts w:ascii="Times New Roman" w:hAnsi="Times New Roman" w:eastAsia="宋体"/>
          <w:b w:val="0"/>
          <w:sz w:val="22"/>
        </w:rPr>
        <w:t>三档压测汇总数据由 aggregate_results.py 自动整合到 summary_by_endpoint.md。关键接口的 P95 响应时间与吞吐量随并发变化情况见【表 2-2】和【图 2-1】。</w:t>
      </w:r>
    </w:p>
    <w:p>
      <w:pPr>
        <w:jc w:val="center"/>
      </w:pPr>
      <w:r>
        <w:rPr>
          <w:rFonts w:ascii="Times New Roman" w:hAnsi="Times New Roman" w:eastAsia="宋体"/>
          <w:b/>
          <w:color w:val="C0504D"/>
          <w:sz w:val="20"/>
        </w:rPr>
        <w:t>【表 2-2】关键接口性能汇总（P95 响应时间单位 ms）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vAlign w:val="center"/>
          </w:tcPr>
          <w:p>
            <w:pPr>
              <w:jc w:val="center"/>
            </w:pPr>
            <w:r/>
            <w:r>
              <w:rPr>
                <w:rFonts w:ascii="Times New Roman" w:hAnsi="Times New Roman" w:eastAsia="宋体"/>
                <w:b/>
                <w:sz w:val="20"/>
              </w:rPr>
              <w:t>接口</w:t>
            </w:r>
          </w:p>
        </w:tc>
        <w:tc>
          <w:tcPr>
            <w:tcW w:type="dxa" w:w="1881"/>
            <w:vAlign w:val="center"/>
          </w:tcPr>
          <w:p>
            <w:pPr>
              <w:jc w:val="center"/>
            </w:pPr>
            <w:r/>
            <w:r>
              <w:rPr>
                <w:rFonts w:ascii="Times New Roman" w:hAnsi="Times New Roman" w:eastAsia="宋体"/>
                <w:b/>
                <w:sz w:val="20"/>
              </w:rPr>
              <w:t>10 并发 P95</w:t>
            </w:r>
          </w:p>
        </w:tc>
        <w:tc>
          <w:tcPr>
            <w:tcW w:type="dxa" w:w="1881"/>
            <w:vAlign w:val="center"/>
          </w:tcPr>
          <w:p>
            <w:pPr>
              <w:jc w:val="center"/>
            </w:pPr>
            <w:r/>
            <w:r>
              <w:rPr>
                <w:rFonts w:ascii="Times New Roman" w:hAnsi="Times New Roman" w:eastAsia="宋体"/>
                <w:b/>
                <w:sz w:val="20"/>
              </w:rPr>
              <w:t>50 并发 P95</w:t>
            </w:r>
          </w:p>
        </w:tc>
        <w:tc>
          <w:tcPr>
            <w:tcW w:type="dxa" w:w="1881"/>
            <w:vAlign w:val="center"/>
          </w:tcPr>
          <w:p>
            <w:pPr>
              <w:jc w:val="center"/>
            </w:pPr>
            <w:r/>
            <w:r>
              <w:rPr>
                <w:rFonts w:ascii="Times New Roman" w:hAnsi="Times New Roman" w:eastAsia="宋体"/>
                <w:b/>
                <w:sz w:val="20"/>
              </w:rPr>
              <w:t>100 并发 P95</w:t>
            </w:r>
          </w:p>
        </w:tc>
        <w:tc>
          <w:tcPr>
            <w:tcW w:type="dxa" w:w="1881"/>
            <w:vAlign w:val="center"/>
          </w:tcPr>
          <w:p>
            <w:pPr>
              <w:jc w:val="center"/>
            </w:pPr>
            <w:r/>
            <w:r>
              <w:rPr>
                <w:rFonts w:ascii="Times New Roman" w:hAnsi="Times New Roman" w:eastAsia="宋体"/>
                <w:b/>
                <w:sz w:val="20"/>
              </w:rPr>
              <w:t>100 并发 QPS</w:t>
            </w:r>
          </w:p>
        </w:tc>
      </w:tr>
      <w:tr>
        <w:tc>
          <w:tcPr>
            <w:tcW w:type="dxa" w:w="1881"/>
            <w:vAlign w:val="center"/>
          </w:tcPr>
          <w:p>
            <w:pPr>
              <w:jc w:val="center"/>
            </w:pPr>
            <w:r/>
            <w:r>
              <w:rPr>
                <w:rFonts w:ascii="Times New Roman" w:hAnsi="Times New Roman" w:eastAsia="宋体"/>
                <w:sz w:val="20"/>
              </w:rPr>
              <w:t>GET /api/lock/status</w:t>
            </w:r>
          </w:p>
        </w:tc>
        <w:tc>
          <w:tcPr>
            <w:tcW w:type="dxa" w:w="1881"/>
            <w:vAlign w:val="center"/>
          </w:tcPr>
          <w:p>
            <w:pPr>
              <w:jc w:val="center"/>
            </w:pPr>
            <w:r/>
            <w:r>
              <w:rPr>
                <w:rFonts w:ascii="Times New Roman" w:hAnsi="Times New Roman" w:eastAsia="宋体"/>
                <w:sz w:val="20"/>
              </w:rPr>
              <w:t>12</w:t>
            </w:r>
          </w:p>
        </w:tc>
        <w:tc>
          <w:tcPr>
            <w:tcW w:type="dxa" w:w="1881"/>
            <w:vAlign w:val="center"/>
          </w:tcPr>
          <w:p>
            <w:pPr>
              <w:jc w:val="center"/>
            </w:pPr>
            <w:r/>
            <w:r>
              <w:rPr>
                <w:rFonts w:ascii="Times New Roman" w:hAnsi="Times New Roman" w:eastAsia="宋体"/>
                <w:sz w:val="20"/>
              </w:rPr>
              <w:t>46</w:t>
            </w:r>
          </w:p>
        </w:tc>
        <w:tc>
          <w:tcPr>
            <w:tcW w:type="dxa" w:w="1881"/>
            <w:vAlign w:val="center"/>
          </w:tcPr>
          <w:p>
            <w:pPr>
              <w:jc w:val="center"/>
            </w:pPr>
            <w:r/>
            <w:r>
              <w:rPr>
                <w:rFonts w:ascii="Times New Roman" w:hAnsi="Times New Roman" w:eastAsia="宋体"/>
                <w:sz w:val="20"/>
              </w:rPr>
              <w:t>118</w:t>
            </w:r>
          </w:p>
        </w:tc>
        <w:tc>
          <w:tcPr>
            <w:tcW w:type="dxa" w:w="1881"/>
            <w:vAlign w:val="center"/>
          </w:tcPr>
          <w:p>
            <w:pPr>
              <w:jc w:val="center"/>
            </w:pPr>
            <w:r/>
            <w:r>
              <w:rPr>
                <w:rFonts w:ascii="Times New Roman" w:hAnsi="Times New Roman" w:eastAsia="宋体"/>
                <w:sz w:val="20"/>
              </w:rPr>
              <w:t>143.5</w:t>
            </w:r>
          </w:p>
        </w:tc>
      </w:tr>
      <w:tr>
        <w:tc>
          <w:tcPr>
            <w:tcW w:type="dxa" w:w="1881"/>
            <w:vAlign w:val="center"/>
          </w:tcPr>
          <w:p>
            <w:pPr>
              <w:jc w:val="center"/>
            </w:pPr>
            <w:r/>
            <w:r>
              <w:rPr>
                <w:rFonts w:ascii="Times New Roman" w:hAnsi="Times New Roman" w:eastAsia="宋体"/>
                <w:sz w:val="20"/>
              </w:rPr>
              <w:t>GET /api/lock/history</w:t>
            </w:r>
          </w:p>
        </w:tc>
        <w:tc>
          <w:tcPr>
            <w:tcW w:type="dxa" w:w="1881"/>
            <w:vAlign w:val="center"/>
          </w:tcPr>
          <w:p>
            <w:pPr>
              <w:jc w:val="center"/>
            </w:pPr>
            <w:r/>
            <w:r>
              <w:rPr>
                <w:rFonts w:ascii="Times New Roman" w:hAnsi="Times New Roman" w:eastAsia="宋体"/>
                <w:sz w:val="20"/>
              </w:rPr>
              <w:t>28</w:t>
            </w:r>
          </w:p>
        </w:tc>
        <w:tc>
          <w:tcPr>
            <w:tcW w:type="dxa" w:w="1881"/>
            <w:vAlign w:val="center"/>
          </w:tcPr>
          <w:p>
            <w:pPr>
              <w:jc w:val="center"/>
            </w:pPr>
            <w:r/>
            <w:r>
              <w:rPr>
                <w:rFonts w:ascii="Times New Roman" w:hAnsi="Times New Roman" w:eastAsia="宋体"/>
                <w:sz w:val="20"/>
              </w:rPr>
              <w:t>92</w:t>
            </w:r>
          </w:p>
        </w:tc>
        <w:tc>
          <w:tcPr>
            <w:tcW w:type="dxa" w:w="1881"/>
            <w:vAlign w:val="center"/>
          </w:tcPr>
          <w:p>
            <w:pPr>
              <w:jc w:val="center"/>
            </w:pPr>
            <w:r/>
            <w:r>
              <w:rPr>
                <w:rFonts w:ascii="Times New Roman" w:hAnsi="Times New Roman" w:eastAsia="宋体"/>
                <w:sz w:val="20"/>
              </w:rPr>
              <w:t>220</w:t>
            </w:r>
          </w:p>
        </w:tc>
        <w:tc>
          <w:tcPr>
            <w:tcW w:type="dxa" w:w="1881"/>
            <w:vAlign w:val="center"/>
          </w:tcPr>
          <w:p>
            <w:pPr>
              <w:jc w:val="center"/>
            </w:pPr>
            <w:r/>
            <w:r>
              <w:rPr>
                <w:rFonts w:ascii="Times New Roman" w:hAnsi="Times New Roman" w:eastAsia="宋体"/>
                <w:sz w:val="20"/>
              </w:rPr>
              <w:t>108.2</w:t>
            </w:r>
          </w:p>
        </w:tc>
      </w:tr>
      <w:tr>
        <w:tc>
          <w:tcPr>
            <w:tcW w:type="dxa" w:w="1881"/>
            <w:vAlign w:val="center"/>
          </w:tcPr>
          <w:p>
            <w:pPr>
              <w:jc w:val="center"/>
            </w:pPr>
            <w:r/>
            <w:r>
              <w:rPr>
                <w:rFonts w:ascii="Times New Roman" w:hAnsi="Times New Roman" w:eastAsia="宋体"/>
                <w:sz w:val="20"/>
              </w:rPr>
              <w:t>GET /api/mfa/status</w:t>
            </w:r>
          </w:p>
        </w:tc>
        <w:tc>
          <w:tcPr>
            <w:tcW w:type="dxa" w:w="1881"/>
            <w:vAlign w:val="center"/>
          </w:tcPr>
          <w:p>
            <w:pPr>
              <w:jc w:val="center"/>
            </w:pPr>
            <w:r/>
            <w:r>
              <w:rPr>
                <w:rFonts w:ascii="Times New Roman" w:hAnsi="Times New Roman" w:eastAsia="宋体"/>
                <w:sz w:val="20"/>
              </w:rPr>
              <w:t>18</w:t>
            </w:r>
          </w:p>
        </w:tc>
        <w:tc>
          <w:tcPr>
            <w:tcW w:type="dxa" w:w="1881"/>
            <w:vAlign w:val="center"/>
          </w:tcPr>
          <w:p>
            <w:pPr>
              <w:jc w:val="center"/>
            </w:pPr>
            <w:r/>
            <w:r>
              <w:rPr>
                <w:rFonts w:ascii="Times New Roman" w:hAnsi="Times New Roman" w:eastAsia="宋体"/>
                <w:sz w:val="20"/>
              </w:rPr>
              <w:t>58</w:t>
            </w:r>
          </w:p>
        </w:tc>
        <w:tc>
          <w:tcPr>
            <w:tcW w:type="dxa" w:w="1881"/>
            <w:vAlign w:val="center"/>
          </w:tcPr>
          <w:p>
            <w:pPr>
              <w:jc w:val="center"/>
            </w:pPr>
            <w:r/>
            <w:r>
              <w:rPr>
                <w:rFonts w:ascii="Times New Roman" w:hAnsi="Times New Roman" w:eastAsia="宋体"/>
                <w:sz w:val="20"/>
              </w:rPr>
              <w:t>140</w:t>
            </w:r>
          </w:p>
        </w:tc>
        <w:tc>
          <w:tcPr>
            <w:tcW w:type="dxa" w:w="1881"/>
            <w:vAlign w:val="center"/>
          </w:tcPr>
          <w:p>
            <w:pPr>
              <w:jc w:val="center"/>
            </w:pPr>
            <w:r/>
            <w:r>
              <w:rPr>
                <w:rFonts w:ascii="Times New Roman" w:hAnsi="Times New Roman" w:eastAsia="宋体"/>
                <w:sz w:val="20"/>
              </w:rPr>
              <w:t>71.4</w:t>
            </w:r>
          </w:p>
        </w:tc>
      </w:tr>
      <w:tr>
        <w:tc>
          <w:tcPr>
            <w:tcW w:type="dxa" w:w="1881"/>
            <w:vAlign w:val="center"/>
          </w:tcPr>
          <w:p>
            <w:pPr>
              <w:jc w:val="center"/>
            </w:pPr>
            <w:r/>
            <w:r>
              <w:rPr>
                <w:rFonts w:ascii="Times New Roman" w:hAnsi="Times New Roman" w:eastAsia="宋体"/>
                <w:sz w:val="20"/>
              </w:rPr>
              <w:t>POST /api/lock/control</w:t>
            </w:r>
          </w:p>
        </w:tc>
        <w:tc>
          <w:tcPr>
            <w:tcW w:type="dxa" w:w="1881"/>
            <w:vAlign w:val="center"/>
          </w:tcPr>
          <w:p>
            <w:pPr>
              <w:jc w:val="center"/>
            </w:pPr>
            <w:r/>
            <w:r>
              <w:rPr>
                <w:rFonts w:ascii="Times New Roman" w:hAnsi="Times New Roman" w:eastAsia="宋体"/>
                <w:sz w:val="20"/>
              </w:rPr>
              <w:t>32</w:t>
            </w:r>
          </w:p>
        </w:tc>
        <w:tc>
          <w:tcPr>
            <w:tcW w:type="dxa" w:w="1881"/>
            <w:vAlign w:val="center"/>
          </w:tcPr>
          <w:p>
            <w:pPr>
              <w:jc w:val="center"/>
            </w:pPr>
            <w:r/>
            <w:r>
              <w:rPr>
                <w:rFonts w:ascii="Times New Roman" w:hAnsi="Times New Roman" w:eastAsia="宋体"/>
                <w:sz w:val="20"/>
              </w:rPr>
              <w:t>105</w:t>
            </w:r>
          </w:p>
        </w:tc>
        <w:tc>
          <w:tcPr>
            <w:tcW w:type="dxa" w:w="1881"/>
            <w:vAlign w:val="center"/>
          </w:tcPr>
          <w:p>
            <w:pPr>
              <w:jc w:val="center"/>
            </w:pPr>
            <w:r/>
            <w:r>
              <w:rPr>
                <w:rFonts w:ascii="Times New Roman" w:hAnsi="Times New Roman" w:eastAsia="宋体"/>
                <w:sz w:val="20"/>
              </w:rPr>
              <w:t>260</w:t>
            </w:r>
          </w:p>
        </w:tc>
        <w:tc>
          <w:tcPr>
            <w:tcW w:type="dxa" w:w="1881"/>
            <w:vAlign w:val="center"/>
          </w:tcPr>
          <w:p>
            <w:pPr>
              <w:jc w:val="center"/>
            </w:pPr>
            <w:r/>
            <w:r>
              <w:rPr>
                <w:rFonts w:ascii="Times New Roman" w:hAnsi="Times New Roman" w:eastAsia="宋体"/>
                <w:sz w:val="20"/>
              </w:rPr>
              <w:t>35.8</w:t>
            </w:r>
          </w:p>
        </w:tc>
      </w:tr>
      <w:tr>
        <w:tc>
          <w:tcPr>
            <w:tcW w:type="dxa" w:w="1881"/>
            <w:vAlign w:val="center"/>
          </w:tcPr>
          <w:p>
            <w:pPr>
              <w:jc w:val="center"/>
            </w:pPr>
            <w:r/>
            <w:r>
              <w:rPr>
                <w:rFonts w:ascii="Times New Roman" w:hAnsi="Times New Roman" w:eastAsia="宋体"/>
                <w:sz w:val="20"/>
              </w:rPr>
              <w:t>POST /api/mfa/open-door/request</w:t>
            </w:r>
          </w:p>
        </w:tc>
        <w:tc>
          <w:tcPr>
            <w:tcW w:type="dxa" w:w="1881"/>
            <w:vAlign w:val="center"/>
          </w:tcPr>
          <w:p>
            <w:pPr>
              <w:jc w:val="center"/>
            </w:pPr>
            <w:r/>
            <w:r>
              <w:rPr>
                <w:rFonts w:ascii="Times New Roman" w:hAnsi="Times New Roman" w:eastAsia="宋体"/>
                <w:sz w:val="20"/>
              </w:rPr>
              <w:t>45</w:t>
            </w:r>
          </w:p>
        </w:tc>
        <w:tc>
          <w:tcPr>
            <w:tcW w:type="dxa" w:w="1881"/>
            <w:vAlign w:val="center"/>
          </w:tcPr>
          <w:p>
            <w:pPr>
              <w:jc w:val="center"/>
            </w:pPr>
            <w:r/>
            <w:r>
              <w:rPr>
                <w:rFonts w:ascii="Times New Roman" w:hAnsi="Times New Roman" w:eastAsia="宋体"/>
                <w:sz w:val="20"/>
              </w:rPr>
              <w:t>148</w:t>
            </w:r>
          </w:p>
        </w:tc>
        <w:tc>
          <w:tcPr>
            <w:tcW w:type="dxa" w:w="1881"/>
            <w:vAlign w:val="center"/>
          </w:tcPr>
          <w:p>
            <w:pPr>
              <w:jc w:val="center"/>
            </w:pPr>
            <w:r/>
            <w:r>
              <w:rPr>
                <w:rFonts w:ascii="Times New Roman" w:hAnsi="Times New Roman" w:eastAsia="宋体"/>
                <w:sz w:val="20"/>
              </w:rPr>
              <w:t>380</w:t>
            </w:r>
          </w:p>
        </w:tc>
        <w:tc>
          <w:tcPr>
            <w:tcW w:type="dxa" w:w="1881"/>
            <w:vAlign w:val="center"/>
          </w:tcPr>
          <w:p>
            <w:pPr>
              <w:jc w:val="center"/>
            </w:pPr>
            <w:r/>
            <w:r>
              <w:rPr>
                <w:rFonts w:ascii="Times New Roman" w:hAnsi="Times New Roman" w:eastAsia="宋体"/>
                <w:sz w:val="20"/>
              </w:rPr>
              <w:t>17.6</w:t>
            </w:r>
          </w:p>
        </w:tc>
      </w:tr>
      <w:tr>
        <w:tc>
          <w:tcPr>
            <w:tcW w:type="dxa" w:w="1881"/>
            <w:vAlign w:val="center"/>
          </w:tcPr>
          <w:p>
            <w:pPr>
              <w:jc w:val="center"/>
            </w:pPr>
            <w:r/>
            <w:r>
              <w:rPr>
                <w:rFonts w:ascii="Times New Roman" w:hAnsi="Times New Roman" w:eastAsia="宋体"/>
                <w:sz w:val="20"/>
              </w:rPr>
              <w:t>POST /api/login</w:t>
            </w:r>
          </w:p>
        </w:tc>
        <w:tc>
          <w:tcPr>
            <w:tcW w:type="dxa" w:w="1881"/>
            <w:vAlign w:val="center"/>
          </w:tcPr>
          <w:p>
            <w:pPr>
              <w:jc w:val="center"/>
            </w:pPr>
            <w:r/>
            <w:r>
              <w:rPr>
                <w:rFonts w:ascii="Times New Roman" w:hAnsi="Times New Roman" w:eastAsia="宋体"/>
                <w:sz w:val="20"/>
              </w:rPr>
              <w:t>380</w:t>
            </w:r>
          </w:p>
        </w:tc>
        <w:tc>
          <w:tcPr>
            <w:tcW w:type="dxa" w:w="1881"/>
            <w:vAlign w:val="center"/>
          </w:tcPr>
          <w:p>
            <w:pPr>
              <w:jc w:val="center"/>
            </w:pPr>
            <w:r/>
            <w:r>
              <w:rPr>
                <w:rFonts w:ascii="Times New Roman" w:hAnsi="Times New Roman" w:eastAsia="宋体"/>
                <w:sz w:val="20"/>
              </w:rPr>
              <w:t>920</w:t>
            </w:r>
          </w:p>
        </w:tc>
        <w:tc>
          <w:tcPr>
            <w:tcW w:type="dxa" w:w="1881"/>
            <w:vAlign w:val="center"/>
          </w:tcPr>
          <w:p>
            <w:pPr>
              <w:jc w:val="center"/>
            </w:pPr>
            <w:r/>
            <w:r>
              <w:rPr>
                <w:rFonts w:ascii="Times New Roman" w:hAnsi="Times New Roman" w:eastAsia="宋体"/>
                <w:sz w:val="20"/>
              </w:rPr>
              <w:t>1750</w:t>
            </w:r>
          </w:p>
        </w:tc>
        <w:tc>
          <w:tcPr>
            <w:tcW w:type="dxa" w:w="1881"/>
            <w:vAlign w:val="center"/>
          </w:tcPr>
          <w:p>
            <w:pPr>
              <w:jc w:val="center"/>
            </w:pPr>
            <w:r/>
            <w:r>
              <w:rPr>
                <w:rFonts w:ascii="Times New Roman" w:hAnsi="Times New Roman" w:eastAsia="宋体"/>
                <w:sz w:val="20"/>
              </w:rPr>
              <w:t>8.4</w:t>
            </w:r>
          </w:p>
        </w:tc>
      </w:tr>
      <w:tr>
        <w:tc>
          <w:tcPr>
            <w:tcW w:type="dxa" w:w="1881"/>
            <w:vAlign w:val="center"/>
          </w:tcPr>
          <w:p>
            <w:pPr>
              <w:jc w:val="center"/>
            </w:pPr>
            <w:r/>
            <w:r>
              <w:rPr>
                <w:rFonts w:ascii="Times New Roman" w:hAnsi="Times New Roman" w:eastAsia="宋体"/>
                <w:sz w:val="20"/>
              </w:rPr>
              <w:t>Aggregated</w:t>
            </w:r>
          </w:p>
        </w:tc>
        <w:tc>
          <w:tcPr>
            <w:tcW w:type="dxa" w:w="1881"/>
            <w:vAlign w:val="center"/>
          </w:tcPr>
          <w:p>
            <w:pPr>
              <w:jc w:val="center"/>
            </w:pPr>
            <w:r/>
            <w:r>
              <w:rPr>
                <w:rFonts w:ascii="Times New Roman" w:hAnsi="Times New Roman" w:eastAsia="宋体"/>
                <w:sz w:val="20"/>
              </w:rPr>
              <w:t>46</w:t>
            </w:r>
          </w:p>
        </w:tc>
        <w:tc>
          <w:tcPr>
            <w:tcW w:type="dxa" w:w="1881"/>
            <w:vAlign w:val="center"/>
          </w:tcPr>
          <w:p>
            <w:pPr>
              <w:jc w:val="center"/>
            </w:pPr>
            <w:r/>
            <w:r>
              <w:rPr>
                <w:rFonts w:ascii="Times New Roman" w:hAnsi="Times New Roman" w:eastAsia="宋体"/>
                <w:sz w:val="20"/>
              </w:rPr>
              <w:t>155</w:t>
            </w:r>
          </w:p>
        </w:tc>
        <w:tc>
          <w:tcPr>
            <w:tcW w:type="dxa" w:w="1881"/>
            <w:vAlign w:val="center"/>
          </w:tcPr>
          <w:p>
            <w:pPr>
              <w:jc w:val="center"/>
            </w:pPr>
            <w:r/>
            <w:r>
              <w:rPr>
                <w:rFonts w:ascii="Times New Roman" w:hAnsi="Times New Roman" w:eastAsia="宋体"/>
                <w:sz w:val="20"/>
              </w:rPr>
              <w:t>340</w:t>
            </w:r>
          </w:p>
        </w:tc>
        <w:tc>
          <w:tcPr>
            <w:tcW w:type="dxa" w:w="1881"/>
            <w:vAlign w:val="center"/>
          </w:tcPr>
          <w:p>
            <w:pPr>
              <w:jc w:val="center"/>
            </w:pPr>
            <w:r/>
            <w:r>
              <w:rPr>
                <w:rFonts w:ascii="Times New Roman" w:hAnsi="Times New Roman" w:eastAsia="宋体"/>
                <w:sz w:val="20"/>
              </w:rPr>
              <w:t>402.6</w:t>
            </w:r>
          </w:p>
        </w:tc>
      </w:tr>
    </w:tbl>
    <w:p/>
    <w:p>
      <w:pPr>
        <w:jc w:val="center"/>
      </w:pPr>
      <w:r>
        <w:rPr>
          <w:rFonts w:ascii="Times New Roman" w:hAnsi="Times New Roman" w:eastAsia="宋体"/>
          <w:b/>
          <w:color w:val="C0504D"/>
          <w:sz w:val="20"/>
        </w:rPr>
        <w:t>【图 2-1】P95 响应时间与 QPS 随并发变化曲线（由 aggregate_results.py --plot 自动生成，路径 results/perf_curves.png）</w:t>
      </w:r>
    </w:p>
    <w:p>
      <w:pPr>
        <w:jc w:val="center"/>
      </w:pPr>
      <w:r>
        <w:rPr>
          <w:rFonts w:ascii="Times New Roman" w:hAnsi="Times New Roman" w:eastAsia="宋体"/>
          <w:b/>
          <w:color w:val="C0504D"/>
          <w:sz w:val="20"/>
        </w:rPr>
        <w:t>【图 2-2】Locust 官方 HTML 报告截图 —— 100 并发档聚合视图（截取 results/c100.html）</w:t>
      </w:r>
    </w:p>
    <w:p>
      <w:pPr>
        <w:spacing w:before="240" w:after="120"/>
      </w:pPr>
      <w:r>
        <w:rPr>
          <w:rFonts w:ascii="Times New Roman" w:hAnsi="Times New Roman" w:eastAsia="宋体"/>
          <w:b/>
          <w:sz w:val="28"/>
        </w:rPr>
        <w:t>2.4 结果分析</w:t>
      </w:r>
    </w:p>
    <w:p>
      <w:pPr>
        <w:spacing w:line="360" w:lineRule="auto"/>
        <w:ind w:firstLine="420"/>
      </w:pPr>
      <w:r>
        <w:rPr>
          <w:rFonts w:ascii="Times New Roman" w:hAnsi="Times New Roman" w:eastAsia="宋体"/>
          <w:b w:val="0"/>
          <w:sz w:val="22"/>
        </w:rPr>
        <w:t>从数据可以观察到三个明显规律：</w:t>
      </w:r>
    </w:p>
    <w:p>
      <w:pPr>
        <w:spacing w:line="360" w:lineRule="auto"/>
        <w:ind w:firstLine="420"/>
      </w:pPr>
      <w:r>
        <w:rPr>
          <w:rFonts w:ascii="Times New Roman" w:hAnsi="Times New Roman" w:eastAsia="宋体"/>
          <w:b w:val="0"/>
          <w:sz w:val="22"/>
        </w:rPr>
        <w:t>第一，读接口整体表现优秀。/api/lock/status、/api/mfa/status 等只读接口即便在 100 并发下 P95 仍在 150 ms 以内，说明 Flask-SQLAlchemy 查询单表的开销可控，SQLite 在读密集场景下瓶颈不明显。</w:t>
      </w:r>
    </w:p>
    <w:p>
      <w:pPr>
        <w:spacing w:line="360" w:lineRule="auto"/>
        <w:ind w:firstLine="420"/>
      </w:pPr>
      <w:r>
        <w:rPr>
          <w:rFonts w:ascii="Times New Roman" w:hAnsi="Times New Roman" w:eastAsia="宋体"/>
          <w:b w:val="0"/>
          <w:sz w:val="22"/>
        </w:rPr>
        <w:t>第二，登录接口成为主要热点。/api/login 在 100 并发下 P95 高达 1.75 秒，这是 Bcrypt 慢哈希的预期行为。Bcrypt 通过刻意增加计算成本抵御离线暴力破解，牺牲吞吐换取安全性，属于安全设计上的合理代价。生产环境可通过引入 Redis 缓存 JWT 会话、或提高 Bcrypt work factor 与限流策略的平衡来优化。</w:t>
      </w:r>
    </w:p>
    <w:p>
      <w:pPr>
        <w:spacing w:line="360" w:lineRule="auto"/>
        <w:ind w:firstLine="420"/>
      </w:pPr>
      <w:r>
        <w:rPr>
          <w:rFonts w:ascii="Times New Roman" w:hAnsi="Times New Roman" w:eastAsia="宋体"/>
          <w:b w:val="0"/>
          <w:sz w:val="22"/>
        </w:rPr>
        <w:t>第三，SQLite 在写密集接口下暴露出并发写锁问题。/api/lock/control 与 /api/mfa/open-door/request 在 100 并发下响应时间显著上升。SQLite 采用数据库级写锁，并发写会串行化，这是文件型数据库的固有限制。优化方向明确：将数据库切换至 MySQL 或 PostgreSQL 后可获得行级锁，写吞吐将有量级提升。</w:t>
      </w:r>
    </w:p>
    <w:p>
      <w:pPr>
        <w:spacing w:line="360" w:lineRule="auto"/>
        <w:ind w:firstLine="420"/>
      </w:pPr>
      <w:r>
        <w:rPr>
          <w:rFonts w:ascii="Times New Roman" w:hAnsi="Times New Roman" w:eastAsia="宋体"/>
          <w:b w:val="0"/>
          <w:sz w:val="22"/>
        </w:rPr>
        <w:t>综合来看，系统在 50 并发以内可保持稳定的用户体验（Aggregated P95 &lt; 160 ms），100 并发时开始出现分化，但仍无请求失败。对于智能锁这类家用/小型商用场景（同时活跃用户数量级通常在 10 以内），当前性能已远超实际需求。</w:t>
      </w:r>
    </w:p>
    <w:p>
      <w:pPr>
        <w:spacing w:before="240" w:after="120"/>
      </w:pPr>
      <w:r>
        <w:rPr>
          <w:rFonts w:ascii="Times New Roman" w:hAnsi="Times New Roman" w:eastAsia="宋体"/>
          <w:b/>
          <w:sz w:val="32"/>
        </w:rPr>
        <w:t>三、端到端时延测试</w:t>
      </w:r>
    </w:p>
    <w:p>
      <w:pPr>
        <w:spacing w:before="240" w:after="120"/>
      </w:pPr>
      <w:r>
        <w:rPr>
          <w:rFonts w:ascii="Times New Roman" w:hAnsi="Times New Roman" w:eastAsia="宋体"/>
          <w:b/>
          <w:sz w:val="28"/>
        </w:rPr>
        <w:t>3.1 测试目的</w:t>
      </w:r>
    </w:p>
    <w:p>
      <w:pPr>
        <w:spacing w:line="360" w:lineRule="auto"/>
        <w:ind w:firstLine="420"/>
      </w:pPr>
      <w:r>
        <w:rPr>
          <w:rFonts w:ascii="Times New Roman" w:hAnsi="Times New Roman" w:eastAsia="宋体"/>
          <w:b w:val="0"/>
          <w:sz w:val="22"/>
        </w:rPr>
        <w:t>接口级性能只能反映单个 HTTP 请求的耗时，无法体现用户从点击“MFA 开门”到门锁真正翻转的完整体感时延。本节针对完整开门链路进行时延测量，将总耗时拆分到各个阶段，用于定位链路瓶颈。</w:t>
      </w:r>
    </w:p>
    <w:p>
      <w:pPr>
        <w:spacing w:before="240" w:after="120"/>
      </w:pPr>
      <w:r>
        <w:rPr>
          <w:rFonts w:ascii="Times New Roman" w:hAnsi="Times New Roman" w:eastAsia="宋体"/>
          <w:b/>
          <w:sz w:val="28"/>
        </w:rPr>
        <w:t>3.2 测试方案</w:t>
      </w:r>
    </w:p>
    <w:p>
      <w:pPr>
        <w:spacing w:line="360" w:lineRule="auto"/>
        <w:ind w:firstLine="420"/>
      </w:pPr>
      <w:r>
        <w:rPr>
          <w:rFonts w:ascii="Times New Roman" w:hAnsi="Times New Roman" w:eastAsia="宋体"/>
          <w:b w:val="0"/>
          <w:sz w:val="22"/>
        </w:rPr>
        <w:t>measure_e2e.py 以单线程串行方式执行完整开门流程，每次运行都完整走完 5 个阶段：</w:t>
      </w:r>
    </w:p>
    <w:p>
      <w:pPr>
        <w:spacing w:line="360" w:lineRule="auto"/>
        <w:ind w:firstLine="420"/>
      </w:pPr>
      <w:r>
        <w:rPr>
          <w:rFonts w:ascii="Times New Roman" w:hAnsi="Times New Roman" w:eastAsia="宋体"/>
          <w:b w:val="0"/>
          <w:sz w:val="22"/>
        </w:rPr>
        <w:t>1) login —— POST /api/login，登录并获取 JWT；2) open_request —— POST /api/mfa/open-door/request，创建认证会话；3) face_result —— POST /api/mfa/open-door/face-result，模拟树莓派上传人脸识别结果；4) confirm —— POST /api/mfa/open-door/confirm，汇总因子并签发 unlock_token；5) token_verify —— POST /api/lock/unlock-token/verify，硬件消费令牌并翻转门锁状态。</w:t>
      </w:r>
    </w:p>
    <w:p>
      <w:pPr>
        <w:spacing w:line="360" w:lineRule="auto"/>
        <w:ind w:firstLine="420"/>
      </w:pPr>
      <w:r>
        <w:rPr>
          <w:rFonts w:ascii="Times New Roman" w:hAnsi="Times New Roman" w:eastAsia="宋体"/>
          <w:b w:val="0"/>
          <w:sz w:val="22"/>
        </w:rPr>
        <w:t>脚本先执行 2 次预热运行（结果不计入统计），随后连续跑 30 次并记录每次各阶段耗时。为规避深夜 TOTP 策略，测试在白天进行；同时设置 DEVICE_DISPATCH_REQUIRED=false，让 open_request 走开发兜底路径，与后续真机联调时的性能特征保持一致。</w:t>
      </w:r>
    </w:p>
    <w:p>
      <w:pPr>
        <w:spacing w:before="240" w:after="120"/>
      </w:pPr>
      <w:r>
        <w:rPr>
          <w:rFonts w:ascii="Times New Roman" w:hAnsi="Times New Roman" w:eastAsia="宋体"/>
          <w:b/>
          <w:sz w:val="28"/>
        </w:rPr>
        <w:t>3.3 测试结果</w:t>
      </w:r>
    </w:p>
    <w:p>
      <w:pPr>
        <w:jc w:val="center"/>
      </w:pPr>
      <w:r>
        <w:rPr>
          <w:rFonts w:ascii="Times New Roman" w:hAnsi="Times New Roman" w:eastAsia="宋体"/>
          <w:b/>
          <w:color w:val="C0504D"/>
          <w:sz w:val="20"/>
        </w:rPr>
        <w:t>【表 3-1】端到端各阶段耗时统计（单位 ms，N=30）</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pPr>
              <w:jc w:val="center"/>
            </w:pPr>
            <w:r/>
            <w:r>
              <w:rPr>
                <w:rFonts w:ascii="Times New Roman" w:hAnsi="Times New Roman" w:eastAsia="宋体"/>
                <w:b/>
                <w:sz w:val="20"/>
              </w:rPr>
              <w:t>阶段</w:t>
            </w:r>
          </w:p>
        </w:tc>
        <w:tc>
          <w:tcPr>
            <w:tcW w:type="dxa" w:w="1568"/>
            <w:vAlign w:val="center"/>
          </w:tcPr>
          <w:p>
            <w:pPr>
              <w:jc w:val="center"/>
            </w:pPr>
            <w:r/>
            <w:r>
              <w:rPr>
                <w:rFonts w:ascii="Times New Roman" w:hAnsi="Times New Roman" w:eastAsia="宋体"/>
                <w:b/>
                <w:sz w:val="20"/>
              </w:rPr>
              <w:t>均值</w:t>
            </w:r>
          </w:p>
        </w:tc>
        <w:tc>
          <w:tcPr>
            <w:tcW w:type="dxa" w:w="1568"/>
            <w:vAlign w:val="center"/>
          </w:tcPr>
          <w:p>
            <w:pPr>
              <w:jc w:val="center"/>
            </w:pPr>
            <w:r/>
            <w:r>
              <w:rPr>
                <w:rFonts w:ascii="Times New Roman" w:hAnsi="Times New Roman" w:eastAsia="宋体"/>
                <w:b/>
                <w:sz w:val="20"/>
              </w:rPr>
              <w:t>中位数</w:t>
            </w:r>
          </w:p>
        </w:tc>
        <w:tc>
          <w:tcPr>
            <w:tcW w:type="dxa" w:w="1568"/>
            <w:vAlign w:val="center"/>
          </w:tcPr>
          <w:p>
            <w:pPr>
              <w:jc w:val="center"/>
            </w:pPr>
            <w:r/>
            <w:r>
              <w:rPr>
                <w:rFonts w:ascii="Times New Roman" w:hAnsi="Times New Roman" w:eastAsia="宋体"/>
                <w:b/>
                <w:sz w:val="20"/>
              </w:rPr>
              <w:t>P95</w:t>
            </w:r>
          </w:p>
        </w:tc>
        <w:tc>
          <w:tcPr>
            <w:tcW w:type="dxa" w:w="1568"/>
            <w:vAlign w:val="center"/>
          </w:tcPr>
          <w:p>
            <w:pPr>
              <w:jc w:val="center"/>
            </w:pPr>
            <w:r/>
            <w:r>
              <w:rPr>
                <w:rFonts w:ascii="Times New Roman" w:hAnsi="Times New Roman" w:eastAsia="宋体"/>
                <w:b/>
                <w:sz w:val="20"/>
              </w:rPr>
              <w:t>标准差</w:t>
            </w:r>
          </w:p>
        </w:tc>
        <w:tc>
          <w:tcPr>
            <w:tcW w:type="dxa" w:w="1568"/>
            <w:vAlign w:val="center"/>
          </w:tcPr>
          <w:p>
            <w:pPr>
              <w:jc w:val="center"/>
            </w:pPr>
            <w:r/>
            <w:r>
              <w:rPr>
                <w:rFonts w:ascii="Times New Roman" w:hAnsi="Times New Roman" w:eastAsia="宋体"/>
                <w:b/>
                <w:sz w:val="20"/>
              </w:rPr>
              <w:t>阶段占比</w:t>
            </w:r>
          </w:p>
        </w:tc>
      </w:tr>
      <w:tr>
        <w:tc>
          <w:tcPr>
            <w:tcW w:type="dxa" w:w="1568"/>
            <w:vAlign w:val="center"/>
          </w:tcPr>
          <w:p>
            <w:pPr>
              <w:jc w:val="center"/>
            </w:pPr>
            <w:r/>
            <w:r>
              <w:rPr>
                <w:rFonts w:ascii="Times New Roman" w:hAnsi="Times New Roman" w:eastAsia="宋体"/>
                <w:sz w:val="20"/>
              </w:rPr>
              <w:t>login</w:t>
            </w:r>
          </w:p>
        </w:tc>
        <w:tc>
          <w:tcPr>
            <w:tcW w:type="dxa" w:w="1568"/>
            <w:vAlign w:val="center"/>
          </w:tcPr>
          <w:p>
            <w:pPr>
              <w:jc w:val="center"/>
            </w:pPr>
            <w:r/>
            <w:r>
              <w:rPr>
                <w:rFonts w:ascii="Times New Roman" w:hAnsi="Times New Roman" w:eastAsia="宋体"/>
                <w:sz w:val="20"/>
              </w:rPr>
              <w:t>385.2</w:t>
            </w:r>
          </w:p>
        </w:tc>
        <w:tc>
          <w:tcPr>
            <w:tcW w:type="dxa" w:w="1568"/>
            <w:vAlign w:val="center"/>
          </w:tcPr>
          <w:p>
            <w:pPr>
              <w:jc w:val="center"/>
            </w:pPr>
            <w:r/>
            <w:r>
              <w:rPr>
                <w:rFonts w:ascii="Times New Roman" w:hAnsi="Times New Roman" w:eastAsia="宋体"/>
                <w:sz w:val="20"/>
              </w:rPr>
              <w:t>378.5</w:t>
            </w:r>
          </w:p>
        </w:tc>
        <w:tc>
          <w:tcPr>
            <w:tcW w:type="dxa" w:w="1568"/>
            <w:vAlign w:val="center"/>
          </w:tcPr>
          <w:p>
            <w:pPr>
              <w:jc w:val="center"/>
            </w:pPr>
            <w:r/>
            <w:r>
              <w:rPr>
                <w:rFonts w:ascii="Times New Roman" w:hAnsi="Times New Roman" w:eastAsia="宋体"/>
                <w:sz w:val="20"/>
              </w:rPr>
              <w:t>452.1</w:t>
            </w:r>
          </w:p>
        </w:tc>
        <w:tc>
          <w:tcPr>
            <w:tcW w:type="dxa" w:w="1568"/>
            <w:vAlign w:val="center"/>
          </w:tcPr>
          <w:p>
            <w:pPr>
              <w:jc w:val="center"/>
            </w:pPr>
            <w:r/>
            <w:r>
              <w:rPr>
                <w:rFonts w:ascii="Times New Roman" w:hAnsi="Times New Roman" w:eastAsia="宋体"/>
                <w:sz w:val="20"/>
              </w:rPr>
              <w:t>42.3</w:t>
            </w:r>
          </w:p>
        </w:tc>
        <w:tc>
          <w:tcPr>
            <w:tcW w:type="dxa" w:w="1568"/>
            <w:vAlign w:val="center"/>
          </w:tcPr>
          <w:p>
            <w:pPr>
              <w:jc w:val="center"/>
            </w:pPr>
            <w:r/>
            <w:r>
              <w:rPr>
                <w:rFonts w:ascii="Times New Roman" w:hAnsi="Times New Roman" w:eastAsia="宋体"/>
                <w:sz w:val="20"/>
              </w:rPr>
              <w:t>68.2%</w:t>
            </w:r>
          </w:p>
        </w:tc>
      </w:tr>
      <w:tr>
        <w:tc>
          <w:tcPr>
            <w:tcW w:type="dxa" w:w="1568"/>
            <w:vAlign w:val="center"/>
          </w:tcPr>
          <w:p>
            <w:pPr>
              <w:jc w:val="center"/>
            </w:pPr>
            <w:r/>
            <w:r>
              <w:rPr>
                <w:rFonts w:ascii="Times New Roman" w:hAnsi="Times New Roman" w:eastAsia="宋体"/>
                <w:sz w:val="20"/>
              </w:rPr>
              <w:t>open_request</w:t>
            </w:r>
          </w:p>
        </w:tc>
        <w:tc>
          <w:tcPr>
            <w:tcW w:type="dxa" w:w="1568"/>
            <w:vAlign w:val="center"/>
          </w:tcPr>
          <w:p>
            <w:pPr>
              <w:jc w:val="center"/>
            </w:pPr>
            <w:r/>
            <w:r>
              <w:rPr>
                <w:rFonts w:ascii="Times New Roman" w:hAnsi="Times New Roman" w:eastAsia="宋体"/>
                <w:sz w:val="20"/>
              </w:rPr>
              <w:t>42.1</w:t>
            </w:r>
          </w:p>
        </w:tc>
        <w:tc>
          <w:tcPr>
            <w:tcW w:type="dxa" w:w="1568"/>
            <w:vAlign w:val="center"/>
          </w:tcPr>
          <w:p>
            <w:pPr>
              <w:jc w:val="center"/>
            </w:pPr>
            <w:r/>
            <w:r>
              <w:rPr>
                <w:rFonts w:ascii="Times New Roman" w:hAnsi="Times New Roman" w:eastAsia="宋体"/>
                <w:sz w:val="20"/>
              </w:rPr>
              <w:t>40.8</w:t>
            </w:r>
          </w:p>
        </w:tc>
        <w:tc>
          <w:tcPr>
            <w:tcW w:type="dxa" w:w="1568"/>
            <w:vAlign w:val="center"/>
          </w:tcPr>
          <w:p>
            <w:pPr>
              <w:jc w:val="center"/>
            </w:pPr>
            <w:r/>
            <w:r>
              <w:rPr>
                <w:rFonts w:ascii="Times New Roman" w:hAnsi="Times New Roman" w:eastAsia="宋体"/>
                <w:sz w:val="20"/>
              </w:rPr>
              <w:t>58.4</w:t>
            </w:r>
          </w:p>
        </w:tc>
        <w:tc>
          <w:tcPr>
            <w:tcW w:type="dxa" w:w="1568"/>
            <w:vAlign w:val="center"/>
          </w:tcPr>
          <w:p>
            <w:pPr>
              <w:jc w:val="center"/>
            </w:pPr>
            <w:r/>
            <w:r>
              <w:rPr>
                <w:rFonts w:ascii="Times New Roman" w:hAnsi="Times New Roman" w:eastAsia="宋体"/>
                <w:sz w:val="20"/>
              </w:rPr>
              <w:t>6.8</w:t>
            </w:r>
          </w:p>
        </w:tc>
        <w:tc>
          <w:tcPr>
            <w:tcW w:type="dxa" w:w="1568"/>
            <w:vAlign w:val="center"/>
          </w:tcPr>
          <w:p>
            <w:pPr>
              <w:jc w:val="center"/>
            </w:pPr>
            <w:r/>
            <w:r>
              <w:rPr>
                <w:rFonts w:ascii="Times New Roman" w:hAnsi="Times New Roman" w:eastAsia="宋体"/>
                <w:sz w:val="20"/>
              </w:rPr>
              <w:t>7.4%</w:t>
            </w:r>
          </w:p>
        </w:tc>
      </w:tr>
      <w:tr>
        <w:tc>
          <w:tcPr>
            <w:tcW w:type="dxa" w:w="1568"/>
            <w:vAlign w:val="center"/>
          </w:tcPr>
          <w:p>
            <w:pPr>
              <w:jc w:val="center"/>
            </w:pPr>
            <w:r/>
            <w:r>
              <w:rPr>
                <w:rFonts w:ascii="Times New Roman" w:hAnsi="Times New Roman" w:eastAsia="宋体"/>
                <w:sz w:val="20"/>
              </w:rPr>
              <w:t>face_result</w:t>
            </w:r>
          </w:p>
        </w:tc>
        <w:tc>
          <w:tcPr>
            <w:tcW w:type="dxa" w:w="1568"/>
            <w:vAlign w:val="center"/>
          </w:tcPr>
          <w:p>
            <w:pPr>
              <w:jc w:val="center"/>
            </w:pPr>
            <w:r/>
            <w:r>
              <w:rPr>
                <w:rFonts w:ascii="Times New Roman" w:hAnsi="Times New Roman" w:eastAsia="宋体"/>
                <w:sz w:val="20"/>
              </w:rPr>
              <w:t>28.5</w:t>
            </w:r>
          </w:p>
        </w:tc>
        <w:tc>
          <w:tcPr>
            <w:tcW w:type="dxa" w:w="1568"/>
            <w:vAlign w:val="center"/>
          </w:tcPr>
          <w:p>
            <w:pPr>
              <w:jc w:val="center"/>
            </w:pPr>
            <w:r/>
            <w:r>
              <w:rPr>
                <w:rFonts w:ascii="Times New Roman" w:hAnsi="Times New Roman" w:eastAsia="宋体"/>
                <w:sz w:val="20"/>
              </w:rPr>
              <w:t>27.2</w:t>
            </w:r>
          </w:p>
        </w:tc>
        <w:tc>
          <w:tcPr>
            <w:tcW w:type="dxa" w:w="1568"/>
            <w:vAlign w:val="center"/>
          </w:tcPr>
          <w:p>
            <w:pPr>
              <w:jc w:val="center"/>
            </w:pPr>
            <w:r/>
            <w:r>
              <w:rPr>
                <w:rFonts w:ascii="Times New Roman" w:hAnsi="Times New Roman" w:eastAsia="宋体"/>
                <w:sz w:val="20"/>
              </w:rPr>
              <w:t>38.1</w:t>
            </w:r>
          </w:p>
        </w:tc>
        <w:tc>
          <w:tcPr>
            <w:tcW w:type="dxa" w:w="1568"/>
            <w:vAlign w:val="center"/>
          </w:tcPr>
          <w:p>
            <w:pPr>
              <w:jc w:val="center"/>
            </w:pPr>
            <w:r/>
            <w:r>
              <w:rPr>
                <w:rFonts w:ascii="Times New Roman" w:hAnsi="Times New Roman" w:eastAsia="宋体"/>
                <w:sz w:val="20"/>
              </w:rPr>
              <w:t>4.5</w:t>
            </w:r>
          </w:p>
        </w:tc>
        <w:tc>
          <w:tcPr>
            <w:tcW w:type="dxa" w:w="1568"/>
            <w:vAlign w:val="center"/>
          </w:tcPr>
          <w:p>
            <w:pPr>
              <w:jc w:val="center"/>
            </w:pPr>
            <w:r/>
            <w:r>
              <w:rPr>
                <w:rFonts w:ascii="Times New Roman" w:hAnsi="Times New Roman" w:eastAsia="宋体"/>
                <w:sz w:val="20"/>
              </w:rPr>
              <w:t>5.0%</w:t>
            </w:r>
          </w:p>
        </w:tc>
      </w:tr>
      <w:tr>
        <w:tc>
          <w:tcPr>
            <w:tcW w:type="dxa" w:w="1568"/>
            <w:vAlign w:val="center"/>
          </w:tcPr>
          <w:p>
            <w:pPr>
              <w:jc w:val="center"/>
            </w:pPr>
            <w:r/>
            <w:r>
              <w:rPr>
                <w:rFonts w:ascii="Times New Roman" w:hAnsi="Times New Roman" w:eastAsia="宋体"/>
                <w:sz w:val="20"/>
              </w:rPr>
              <w:t>confirm</w:t>
            </w:r>
          </w:p>
        </w:tc>
        <w:tc>
          <w:tcPr>
            <w:tcW w:type="dxa" w:w="1568"/>
            <w:vAlign w:val="center"/>
          </w:tcPr>
          <w:p>
            <w:pPr>
              <w:jc w:val="center"/>
            </w:pPr>
            <w:r/>
            <w:r>
              <w:rPr>
                <w:rFonts w:ascii="Times New Roman" w:hAnsi="Times New Roman" w:eastAsia="宋体"/>
                <w:sz w:val="20"/>
              </w:rPr>
              <w:t>52.3</w:t>
            </w:r>
          </w:p>
        </w:tc>
        <w:tc>
          <w:tcPr>
            <w:tcW w:type="dxa" w:w="1568"/>
            <w:vAlign w:val="center"/>
          </w:tcPr>
          <w:p>
            <w:pPr>
              <w:jc w:val="center"/>
            </w:pPr>
            <w:r/>
            <w:r>
              <w:rPr>
                <w:rFonts w:ascii="Times New Roman" w:hAnsi="Times New Roman" w:eastAsia="宋体"/>
                <w:sz w:val="20"/>
              </w:rPr>
              <w:t>50.6</w:t>
            </w:r>
          </w:p>
        </w:tc>
        <w:tc>
          <w:tcPr>
            <w:tcW w:type="dxa" w:w="1568"/>
            <w:vAlign w:val="center"/>
          </w:tcPr>
          <w:p>
            <w:pPr>
              <w:jc w:val="center"/>
            </w:pPr>
            <w:r/>
            <w:r>
              <w:rPr>
                <w:rFonts w:ascii="Times New Roman" w:hAnsi="Times New Roman" w:eastAsia="宋体"/>
                <w:sz w:val="20"/>
              </w:rPr>
              <w:t>72.4</w:t>
            </w:r>
          </w:p>
        </w:tc>
        <w:tc>
          <w:tcPr>
            <w:tcW w:type="dxa" w:w="1568"/>
            <w:vAlign w:val="center"/>
          </w:tcPr>
          <w:p>
            <w:pPr>
              <w:jc w:val="center"/>
            </w:pPr>
            <w:r/>
            <w:r>
              <w:rPr>
                <w:rFonts w:ascii="Times New Roman" w:hAnsi="Times New Roman" w:eastAsia="宋体"/>
                <w:sz w:val="20"/>
              </w:rPr>
              <w:t>8.1</w:t>
            </w:r>
          </w:p>
        </w:tc>
        <w:tc>
          <w:tcPr>
            <w:tcW w:type="dxa" w:w="1568"/>
            <w:vAlign w:val="center"/>
          </w:tcPr>
          <w:p>
            <w:pPr>
              <w:jc w:val="center"/>
            </w:pPr>
            <w:r/>
            <w:r>
              <w:rPr>
                <w:rFonts w:ascii="Times New Roman" w:hAnsi="Times New Roman" w:eastAsia="宋体"/>
                <w:sz w:val="20"/>
              </w:rPr>
              <w:t>9.3%</w:t>
            </w:r>
          </w:p>
        </w:tc>
      </w:tr>
      <w:tr>
        <w:tc>
          <w:tcPr>
            <w:tcW w:type="dxa" w:w="1568"/>
            <w:vAlign w:val="center"/>
          </w:tcPr>
          <w:p>
            <w:pPr>
              <w:jc w:val="center"/>
            </w:pPr>
            <w:r/>
            <w:r>
              <w:rPr>
                <w:rFonts w:ascii="Times New Roman" w:hAnsi="Times New Roman" w:eastAsia="宋体"/>
                <w:sz w:val="20"/>
              </w:rPr>
              <w:t>token_verify</w:t>
            </w:r>
          </w:p>
        </w:tc>
        <w:tc>
          <w:tcPr>
            <w:tcW w:type="dxa" w:w="1568"/>
            <w:vAlign w:val="center"/>
          </w:tcPr>
          <w:p>
            <w:pPr>
              <w:jc w:val="center"/>
            </w:pPr>
            <w:r/>
            <w:r>
              <w:rPr>
                <w:rFonts w:ascii="Times New Roman" w:hAnsi="Times New Roman" w:eastAsia="宋体"/>
                <w:sz w:val="20"/>
              </w:rPr>
              <w:t>56.8</w:t>
            </w:r>
          </w:p>
        </w:tc>
        <w:tc>
          <w:tcPr>
            <w:tcW w:type="dxa" w:w="1568"/>
            <w:vAlign w:val="center"/>
          </w:tcPr>
          <w:p>
            <w:pPr>
              <w:jc w:val="center"/>
            </w:pPr>
            <w:r/>
            <w:r>
              <w:rPr>
                <w:rFonts w:ascii="Times New Roman" w:hAnsi="Times New Roman" w:eastAsia="宋体"/>
                <w:sz w:val="20"/>
              </w:rPr>
              <w:t>54.9</w:t>
            </w:r>
          </w:p>
        </w:tc>
        <w:tc>
          <w:tcPr>
            <w:tcW w:type="dxa" w:w="1568"/>
            <w:vAlign w:val="center"/>
          </w:tcPr>
          <w:p>
            <w:pPr>
              <w:jc w:val="center"/>
            </w:pPr>
            <w:r/>
            <w:r>
              <w:rPr>
                <w:rFonts w:ascii="Times New Roman" w:hAnsi="Times New Roman" w:eastAsia="宋体"/>
                <w:sz w:val="20"/>
              </w:rPr>
              <w:t>78.3</w:t>
            </w:r>
          </w:p>
        </w:tc>
        <w:tc>
          <w:tcPr>
            <w:tcW w:type="dxa" w:w="1568"/>
            <w:vAlign w:val="center"/>
          </w:tcPr>
          <w:p>
            <w:pPr>
              <w:jc w:val="center"/>
            </w:pPr>
            <w:r/>
            <w:r>
              <w:rPr>
                <w:rFonts w:ascii="Times New Roman" w:hAnsi="Times New Roman" w:eastAsia="宋体"/>
                <w:sz w:val="20"/>
              </w:rPr>
              <w:t>9.4</w:t>
            </w:r>
          </w:p>
        </w:tc>
        <w:tc>
          <w:tcPr>
            <w:tcW w:type="dxa" w:w="1568"/>
            <w:vAlign w:val="center"/>
          </w:tcPr>
          <w:p>
            <w:pPr>
              <w:jc w:val="center"/>
            </w:pPr>
            <w:r/>
            <w:r>
              <w:rPr>
                <w:rFonts w:ascii="Times New Roman" w:hAnsi="Times New Roman" w:eastAsia="宋体"/>
                <w:sz w:val="20"/>
              </w:rPr>
              <w:t>10.1%</w:t>
            </w:r>
          </w:p>
        </w:tc>
      </w:tr>
      <w:tr>
        <w:tc>
          <w:tcPr>
            <w:tcW w:type="dxa" w:w="1568"/>
            <w:vAlign w:val="center"/>
          </w:tcPr>
          <w:p>
            <w:pPr>
              <w:jc w:val="center"/>
            </w:pPr>
            <w:r/>
            <w:r>
              <w:rPr>
                <w:rFonts w:ascii="Times New Roman" w:hAnsi="Times New Roman" w:eastAsia="宋体"/>
                <w:sz w:val="20"/>
              </w:rPr>
              <w:t>total</w:t>
            </w:r>
          </w:p>
        </w:tc>
        <w:tc>
          <w:tcPr>
            <w:tcW w:type="dxa" w:w="1568"/>
            <w:vAlign w:val="center"/>
          </w:tcPr>
          <w:p>
            <w:pPr>
              <w:jc w:val="center"/>
            </w:pPr>
            <w:r/>
            <w:r>
              <w:rPr>
                <w:rFonts w:ascii="Times New Roman" w:hAnsi="Times New Roman" w:eastAsia="宋体"/>
                <w:sz w:val="20"/>
              </w:rPr>
              <w:t>564.9</w:t>
            </w:r>
          </w:p>
        </w:tc>
        <w:tc>
          <w:tcPr>
            <w:tcW w:type="dxa" w:w="1568"/>
            <w:vAlign w:val="center"/>
          </w:tcPr>
          <w:p>
            <w:pPr>
              <w:jc w:val="center"/>
            </w:pPr>
            <w:r/>
            <w:r>
              <w:rPr>
                <w:rFonts w:ascii="Times New Roman" w:hAnsi="Times New Roman" w:eastAsia="宋体"/>
                <w:sz w:val="20"/>
              </w:rPr>
              <w:t>552.0</w:t>
            </w:r>
          </w:p>
        </w:tc>
        <w:tc>
          <w:tcPr>
            <w:tcW w:type="dxa" w:w="1568"/>
            <w:vAlign w:val="center"/>
          </w:tcPr>
          <w:p>
            <w:pPr>
              <w:jc w:val="center"/>
            </w:pPr>
            <w:r/>
            <w:r>
              <w:rPr>
                <w:rFonts w:ascii="Times New Roman" w:hAnsi="Times New Roman" w:eastAsia="宋体"/>
                <w:sz w:val="20"/>
              </w:rPr>
              <w:t>672.5</w:t>
            </w:r>
          </w:p>
        </w:tc>
        <w:tc>
          <w:tcPr>
            <w:tcW w:type="dxa" w:w="1568"/>
            <w:vAlign w:val="center"/>
          </w:tcPr>
          <w:p>
            <w:pPr>
              <w:jc w:val="center"/>
            </w:pPr>
            <w:r/>
            <w:r>
              <w:rPr>
                <w:rFonts w:ascii="Times New Roman" w:hAnsi="Times New Roman" w:eastAsia="宋体"/>
                <w:sz w:val="20"/>
              </w:rPr>
              <w:t>58.2</w:t>
            </w:r>
          </w:p>
        </w:tc>
        <w:tc>
          <w:tcPr>
            <w:tcW w:type="dxa" w:w="1568"/>
            <w:vAlign w:val="center"/>
          </w:tcPr>
          <w:p>
            <w:pPr>
              <w:jc w:val="center"/>
            </w:pPr>
            <w:r/>
            <w:r>
              <w:rPr>
                <w:rFonts w:ascii="Times New Roman" w:hAnsi="Times New Roman" w:eastAsia="宋体"/>
                <w:sz w:val="20"/>
              </w:rPr>
              <w:t>100%</w:t>
            </w:r>
          </w:p>
        </w:tc>
      </w:tr>
    </w:tbl>
    <w:p/>
    <w:p>
      <w:pPr>
        <w:jc w:val="center"/>
      </w:pPr>
      <w:r>
        <w:rPr>
          <w:rFonts w:ascii="Times New Roman" w:hAnsi="Times New Roman" w:eastAsia="宋体"/>
          <w:b/>
          <w:color w:val="C0504D"/>
          <w:sz w:val="20"/>
        </w:rPr>
        <w:t>【图 3-1】端到端阶段耗时堆叠柱状图（横轴：运行序号 1~30，纵轴：耗时 ms，颜色区分五个阶段）</w:t>
      </w:r>
    </w:p>
    <w:p>
      <w:pPr>
        <w:jc w:val="center"/>
      </w:pPr>
      <w:r>
        <w:rPr>
          <w:rFonts w:ascii="Times New Roman" w:hAnsi="Times New Roman" w:eastAsia="宋体"/>
          <w:b/>
          <w:color w:val="C0504D"/>
          <w:sz w:val="20"/>
        </w:rPr>
        <w:t>【图 3-2】端到端总耗时分布直方图（横轴：总耗时区间，纵轴：频次；叠加均值线与 P95 线）</w:t>
      </w:r>
    </w:p>
    <w:p>
      <w:pPr>
        <w:spacing w:before="240" w:after="120"/>
      </w:pPr>
      <w:r>
        <w:rPr>
          <w:rFonts w:ascii="Times New Roman" w:hAnsi="Times New Roman" w:eastAsia="宋体"/>
          <w:b/>
          <w:sz w:val="28"/>
        </w:rPr>
        <w:t>3.4 结果分析</w:t>
      </w:r>
    </w:p>
    <w:p>
      <w:pPr>
        <w:spacing w:line="360" w:lineRule="auto"/>
        <w:ind w:firstLine="420"/>
      </w:pPr>
      <w:r>
        <w:rPr>
          <w:rFonts w:ascii="Times New Roman" w:hAnsi="Times New Roman" w:eastAsia="宋体"/>
          <w:b w:val="0"/>
          <w:sz w:val="22"/>
        </w:rPr>
        <w:t>从阶段耗时分布可以清晰看出：登录阶段贡献了约 68% 的总耗时，其中绝大部分来自 Bcrypt 密码哈希校验。这与第二章接口负载测试的结论一致，进一步验证了登录是系统主要延迟源。若结合前端优化建议——将 JWT 缓存到 localStorage、复用未过期的 token，可以完全跳过高频开门场景下的登录耗时，将端到端时延从 560 ms 压缩至 180 ms 左右，达到人机交互中的“即时响应”体验标准（&lt;200 ms）。</w:t>
      </w:r>
    </w:p>
    <w:p>
      <w:pPr>
        <w:spacing w:line="360" w:lineRule="auto"/>
        <w:ind w:firstLine="420"/>
      </w:pPr>
      <w:r>
        <w:rPr>
          <w:rFonts w:ascii="Times New Roman" w:hAnsi="Times New Roman" w:eastAsia="宋体"/>
          <w:b w:val="0"/>
          <w:sz w:val="22"/>
        </w:rPr>
        <w:t>open_request、confirm、token_verify 三个阶段耗时相近（40~60 ms），均涉及数据库写入与 JWT 校验，属于合理开销。face_result 最快（约 28 ms），因为它不需要 JWT 校验（由树莓派直接调用）。总耗时的 P95（672 ms）与均值（564 ms）差距不到 20%，标准差约为均值的 10%，说明系统时延稳定性良好，无明显长尾现象。</w:t>
      </w:r>
    </w:p>
    <w:p>
      <w:pPr>
        <w:spacing w:before="240" w:after="120"/>
      </w:pPr>
      <w:r>
        <w:rPr>
          <w:rFonts w:ascii="Times New Roman" w:hAnsi="Times New Roman" w:eastAsia="宋体"/>
          <w:b/>
          <w:sz w:val="32"/>
        </w:rPr>
        <w:t>四、人脸识别准确率测试</w:t>
      </w:r>
    </w:p>
    <w:p>
      <w:pPr>
        <w:spacing w:before="240" w:after="120"/>
      </w:pPr>
      <w:r>
        <w:rPr>
          <w:rFonts w:ascii="Times New Roman" w:hAnsi="Times New Roman" w:eastAsia="宋体"/>
          <w:b/>
          <w:sz w:val="28"/>
        </w:rPr>
        <w:t>4.1 测试目的</w:t>
      </w:r>
    </w:p>
    <w:p>
      <w:pPr>
        <w:spacing w:line="360" w:lineRule="auto"/>
        <w:ind w:firstLine="420"/>
      </w:pPr>
      <w:r>
        <w:rPr>
          <w:rFonts w:ascii="Times New Roman" w:hAnsi="Times New Roman" w:eastAsia="宋体"/>
          <w:b w:val="0"/>
          <w:sz w:val="22"/>
        </w:rPr>
        <w:t>人脸识别的准确率直接决定智能锁的可用性和安全性。理想情况下，系统需要在保证极低误接受率（False Accept Rate, FAR）的前提下达到较高的真接受率（True Accept Rate, TAR）。本节通过混合数据集扫描不同判定阈值，绘制 ROC 曲线并选取工程上的最优工作点。</w:t>
      </w:r>
    </w:p>
    <w:p>
      <w:pPr>
        <w:spacing w:before="240" w:after="120"/>
      </w:pPr>
      <w:r>
        <w:rPr>
          <w:rFonts w:ascii="Times New Roman" w:hAnsi="Times New Roman" w:eastAsia="宋体"/>
          <w:b/>
          <w:sz w:val="28"/>
        </w:rPr>
        <w:t>4.2 测试方案</w:t>
      </w:r>
    </w:p>
    <w:p>
      <w:pPr>
        <w:spacing w:line="360" w:lineRule="auto"/>
        <w:ind w:firstLine="420"/>
      </w:pPr>
      <w:r>
        <w:rPr>
          <w:rFonts w:ascii="Times New Roman" w:hAnsi="Times New Roman" w:eastAsia="宋体"/>
          <w:b w:val="0"/>
          <w:sz w:val="22"/>
        </w:rPr>
        <w:t>数据集分为三部分：</w:t>
      </w:r>
    </w:p>
    <w:p>
      <w:pPr>
        <w:spacing w:line="360" w:lineRule="auto"/>
        <w:ind w:firstLine="420"/>
      </w:pPr>
      <w:r>
        <w:rPr>
          <w:rFonts w:ascii="Times New Roman" w:hAnsi="Times New Roman" w:eastAsia="宋体"/>
          <w:b w:val="0"/>
          <w:sz w:val="22"/>
        </w:rPr>
        <w:t>正样本：目标用户（用户名 bearono）在不同光照、角度、表情下采集 30 张人脸照片，覆盖正脸、侧脸 15°/30°、微笑、闭眼、戴眼镜等场景。</w:t>
      </w:r>
    </w:p>
    <w:p>
      <w:pPr>
        <w:spacing w:line="360" w:lineRule="auto"/>
        <w:ind w:firstLine="420"/>
      </w:pPr>
      <w:r>
        <w:rPr>
          <w:rFonts w:ascii="Times New Roman" w:hAnsi="Times New Roman" w:eastAsia="宋体"/>
          <w:b w:val="0"/>
          <w:sz w:val="22"/>
        </w:rPr>
        <w:t>负样本：随机选取其他 6 名同学，每人 5 张，共 30 张非目标人脸照片。</w:t>
      </w:r>
    </w:p>
    <w:p>
      <w:pPr>
        <w:spacing w:line="360" w:lineRule="auto"/>
        <w:ind w:firstLine="420"/>
      </w:pPr>
      <w:r>
        <w:rPr>
          <w:rFonts w:ascii="Times New Roman" w:hAnsi="Times New Roman" w:eastAsia="宋体"/>
          <w:b w:val="0"/>
          <w:sz w:val="22"/>
        </w:rPr>
        <w:t>无脸样本：10 张纯背景或遮挡照片，用于验证系统能否正确拒识。</w:t>
      </w:r>
    </w:p>
    <w:p>
      <w:pPr>
        <w:spacing w:line="360" w:lineRule="auto"/>
        <w:ind w:firstLine="420"/>
      </w:pPr>
      <w:r>
        <w:rPr>
          <w:rFonts w:ascii="Times New Roman" w:hAnsi="Times New Roman" w:eastAsia="宋体"/>
          <w:b w:val="0"/>
          <w:sz w:val="22"/>
        </w:rPr>
        <w:t>每张照片喂给树莓派侧的 recognize() 函数得到余弦相似度分数。以 0.30 为起点、0.90 为终点、步长 0.05 扫描判定阈值，在每个阈值下统计 TAR、FAR、准确率、F1 分数。</w:t>
      </w:r>
    </w:p>
    <w:p>
      <w:pPr>
        <w:spacing w:before="240" w:after="120"/>
      </w:pPr>
      <w:r>
        <w:rPr>
          <w:rFonts w:ascii="Times New Roman" w:hAnsi="Times New Roman" w:eastAsia="宋体"/>
          <w:b/>
          <w:sz w:val="28"/>
        </w:rPr>
        <w:t>4.3 测试结果</w:t>
      </w:r>
    </w:p>
    <w:p>
      <w:pPr>
        <w:jc w:val="center"/>
      </w:pPr>
      <w:r>
        <w:rPr>
          <w:rFonts w:ascii="Times New Roman" w:hAnsi="Times New Roman" w:eastAsia="宋体"/>
          <w:b/>
          <w:color w:val="C0504D"/>
          <w:sz w:val="20"/>
        </w:rPr>
        <w:t>【表 4-1】不同阈值下的准确率指标</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vAlign w:val="center"/>
          </w:tcPr>
          <w:p>
            <w:pPr>
              <w:jc w:val="center"/>
            </w:pPr>
            <w:r/>
            <w:r>
              <w:rPr>
                <w:rFonts w:ascii="Times New Roman" w:hAnsi="Times New Roman" w:eastAsia="宋体"/>
                <w:b/>
                <w:sz w:val="20"/>
              </w:rPr>
              <w:t>阈值</w:t>
            </w:r>
          </w:p>
        </w:tc>
        <w:tc>
          <w:tcPr>
            <w:tcW w:type="dxa" w:w="1881"/>
            <w:vAlign w:val="center"/>
          </w:tcPr>
          <w:p>
            <w:pPr>
              <w:jc w:val="center"/>
            </w:pPr>
            <w:r/>
            <w:r>
              <w:rPr>
                <w:rFonts w:ascii="Times New Roman" w:hAnsi="Times New Roman" w:eastAsia="宋体"/>
                <w:b/>
                <w:sz w:val="20"/>
              </w:rPr>
              <w:t>TAR (%)</w:t>
            </w:r>
          </w:p>
        </w:tc>
        <w:tc>
          <w:tcPr>
            <w:tcW w:type="dxa" w:w="1881"/>
            <w:vAlign w:val="center"/>
          </w:tcPr>
          <w:p>
            <w:pPr>
              <w:jc w:val="center"/>
            </w:pPr>
            <w:r/>
            <w:r>
              <w:rPr>
                <w:rFonts w:ascii="Times New Roman" w:hAnsi="Times New Roman" w:eastAsia="宋体"/>
                <w:b/>
                <w:sz w:val="20"/>
              </w:rPr>
              <w:t>FAR (%)</w:t>
            </w:r>
          </w:p>
        </w:tc>
        <w:tc>
          <w:tcPr>
            <w:tcW w:type="dxa" w:w="1881"/>
            <w:vAlign w:val="center"/>
          </w:tcPr>
          <w:p>
            <w:pPr>
              <w:jc w:val="center"/>
            </w:pPr>
            <w:r/>
            <w:r>
              <w:rPr>
                <w:rFonts w:ascii="Times New Roman" w:hAnsi="Times New Roman" w:eastAsia="宋体"/>
                <w:b/>
                <w:sz w:val="20"/>
              </w:rPr>
              <w:t>准确率 (%)</w:t>
            </w:r>
          </w:p>
        </w:tc>
        <w:tc>
          <w:tcPr>
            <w:tcW w:type="dxa" w:w="1881"/>
            <w:vAlign w:val="center"/>
          </w:tcPr>
          <w:p>
            <w:pPr>
              <w:jc w:val="center"/>
            </w:pPr>
            <w:r/>
            <w:r>
              <w:rPr>
                <w:rFonts w:ascii="Times New Roman" w:hAnsi="Times New Roman" w:eastAsia="宋体"/>
                <w:b/>
                <w:sz w:val="20"/>
              </w:rPr>
              <w:t>F1</w:t>
            </w:r>
          </w:p>
        </w:tc>
      </w:tr>
      <w:tr>
        <w:tc>
          <w:tcPr>
            <w:tcW w:type="dxa" w:w="1881"/>
            <w:vAlign w:val="center"/>
          </w:tcPr>
          <w:p>
            <w:pPr>
              <w:jc w:val="center"/>
            </w:pPr>
            <w:r/>
            <w:r>
              <w:rPr>
                <w:rFonts w:ascii="Times New Roman" w:hAnsi="Times New Roman" w:eastAsia="宋体"/>
                <w:sz w:val="20"/>
              </w:rPr>
              <w:t>0.40</w:t>
            </w:r>
          </w:p>
        </w:tc>
        <w:tc>
          <w:tcPr>
            <w:tcW w:type="dxa" w:w="1881"/>
            <w:vAlign w:val="center"/>
          </w:tcPr>
          <w:p>
            <w:pPr>
              <w:jc w:val="center"/>
            </w:pPr>
            <w:r/>
            <w:r>
              <w:rPr>
                <w:rFonts w:ascii="Times New Roman" w:hAnsi="Times New Roman" w:eastAsia="宋体"/>
                <w:sz w:val="20"/>
              </w:rPr>
              <w:t>100.0</w:t>
            </w:r>
          </w:p>
        </w:tc>
        <w:tc>
          <w:tcPr>
            <w:tcW w:type="dxa" w:w="1881"/>
            <w:vAlign w:val="center"/>
          </w:tcPr>
          <w:p>
            <w:pPr>
              <w:jc w:val="center"/>
            </w:pPr>
            <w:r/>
            <w:r>
              <w:rPr>
                <w:rFonts w:ascii="Times New Roman" w:hAnsi="Times New Roman" w:eastAsia="宋体"/>
                <w:sz w:val="20"/>
              </w:rPr>
              <w:t>26.7</w:t>
            </w:r>
          </w:p>
        </w:tc>
        <w:tc>
          <w:tcPr>
            <w:tcW w:type="dxa" w:w="1881"/>
            <w:vAlign w:val="center"/>
          </w:tcPr>
          <w:p>
            <w:pPr>
              <w:jc w:val="center"/>
            </w:pPr>
            <w:r/>
            <w:r>
              <w:rPr>
                <w:rFonts w:ascii="Times New Roman" w:hAnsi="Times New Roman" w:eastAsia="宋体"/>
                <w:sz w:val="20"/>
              </w:rPr>
              <w:t>85.7</w:t>
            </w:r>
          </w:p>
        </w:tc>
        <w:tc>
          <w:tcPr>
            <w:tcW w:type="dxa" w:w="1881"/>
            <w:vAlign w:val="center"/>
          </w:tcPr>
          <w:p>
            <w:pPr>
              <w:jc w:val="center"/>
            </w:pPr>
            <w:r/>
            <w:r>
              <w:rPr>
                <w:rFonts w:ascii="Times New Roman" w:hAnsi="Times New Roman" w:eastAsia="宋体"/>
                <w:sz w:val="20"/>
              </w:rPr>
              <w:t>0.857</w:t>
            </w:r>
          </w:p>
        </w:tc>
      </w:tr>
      <w:tr>
        <w:tc>
          <w:tcPr>
            <w:tcW w:type="dxa" w:w="1881"/>
            <w:vAlign w:val="center"/>
          </w:tcPr>
          <w:p>
            <w:pPr>
              <w:jc w:val="center"/>
            </w:pPr>
            <w:r/>
            <w:r>
              <w:rPr>
                <w:rFonts w:ascii="Times New Roman" w:hAnsi="Times New Roman" w:eastAsia="宋体"/>
                <w:sz w:val="20"/>
              </w:rPr>
              <w:t>0.50</w:t>
            </w:r>
          </w:p>
        </w:tc>
        <w:tc>
          <w:tcPr>
            <w:tcW w:type="dxa" w:w="1881"/>
            <w:vAlign w:val="center"/>
          </w:tcPr>
          <w:p>
            <w:pPr>
              <w:jc w:val="center"/>
            </w:pPr>
            <w:r/>
            <w:r>
              <w:rPr>
                <w:rFonts w:ascii="Times New Roman" w:hAnsi="Times New Roman" w:eastAsia="宋体"/>
                <w:sz w:val="20"/>
              </w:rPr>
              <w:t>100.0</w:t>
            </w:r>
          </w:p>
        </w:tc>
        <w:tc>
          <w:tcPr>
            <w:tcW w:type="dxa" w:w="1881"/>
            <w:vAlign w:val="center"/>
          </w:tcPr>
          <w:p>
            <w:pPr>
              <w:jc w:val="center"/>
            </w:pPr>
            <w:r/>
            <w:r>
              <w:rPr>
                <w:rFonts w:ascii="Times New Roman" w:hAnsi="Times New Roman" w:eastAsia="宋体"/>
                <w:sz w:val="20"/>
              </w:rPr>
              <w:t>13.3</w:t>
            </w:r>
          </w:p>
        </w:tc>
        <w:tc>
          <w:tcPr>
            <w:tcW w:type="dxa" w:w="1881"/>
            <w:vAlign w:val="center"/>
          </w:tcPr>
          <w:p>
            <w:pPr>
              <w:jc w:val="center"/>
            </w:pPr>
            <w:r/>
            <w:r>
              <w:rPr>
                <w:rFonts w:ascii="Times New Roman" w:hAnsi="Times New Roman" w:eastAsia="宋体"/>
                <w:sz w:val="20"/>
              </w:rPr>
              <w:t>92.9</w:t>
            </w:r>
          </w:p>
        </w:tc>
        <w:tc>
          <w:tcPr>
            <w:tcW w:type="dxa" w:w="1881"/>
            <w:vAlign w:val="center"/>
          </w:tcPr>
          <w:p>
            <w:pPr>
              <w:jc w:val="center"/>
            </w:pPr>
            <w:r/>
            <w:r>
              <w:rPr>
                <w:rFonts w:ascii="Times New Roman" w:hAnsi="Times New Roman" w:eastAsia="宋体"/>
                <w:sz w:val="20"/>
              </w:rPr>
              <w:t>0.923</w:t>
            </w:r>
          </w:p>
        </w:tc>
      </w:tr>
      <w:tr>
        <w:tc>
          <w:tcPr>
            <w:tcW w:type="dxa" w:w="1881"/>
            <w:vAlign w:val="center"/>
          </w:tcPr>
          <w:p>
            <w:pPr>
              <w:jc w:val="center"/>
            </w:pPr>
            <w:r/>
            <w:r>
              <w:rPr>
                <w:rFonts w:ascii="Times New Roman" w:hAnsi="Times New Roman" w:eastAsia="宋体"/>
                <w:sz w:val="20"/>
              </w:rPr>
              <w:t>0.60</w:t>
            </w:r>
          </w:p>
        </w:tc>
        <w:tc>
          <w:tcPr>
            <w:tcW w:type="dxa" w:w="1881"/>
            <w:vAlign w:val="center"/>
          </w:tcPr>
          <w:p>
            <w:pPr>
              <w:jc w:val="center"/>
            </w:pPr>
            <w:r/>
            <w:r>
              <w:rPr>
                <w:rFonts w:ascii="Times New Roman" w:hAnsi="Times New Roman" w:eastAsia="宋体"/>
                <w:sz w:val="20"/>
              </w:rPr>
              <w:t>96.7</w:t>
            </w:r>
          </w:p>
        </w:tc>
        <w:tc>
          <w:tcPr>
            <w:tcW w:type="dxa" w:w="1881"/>
            <w:vAlign w:val="center"/>
          </w:tcPr>
          <w:p>
            <w:pPr>
              <w:jc w:val="center"/>
            </w:pPr>
            <w:r/>
            <w:r>
              <w:rPr>
                <w:rFonts w:ascii="Times New Roman" w:hAnsi="Times New Roman" w:eastAsia="宋体"/>
                <w:sz w:val="20"/>
              </w:rPr>
              <w:t>3.3</w:t>
            </w:r>
          </w:p>
        </w:tc>
        <w:tc>
          <w:tcPr>
            <w:tcW w:type="dxa" w:w="1881"/>
            <w:vAlign w:val="center"/>
          </w:tcPr>
          <w:p>
            <w:pPr>
              <w:jc w:val="center"/>
            </w:pPr>
            <w:r/>
            <w:r>
              <w:rPr>
                <w:rFonts w:ascii="Times New Roman" w:hAnsi="Times New Roman" w:eastAsia="宋体"/>
                <w:sz w:val="20"/>
              </w:rPr>
              <w:t>97.1</w:t>
            </w:r>
          </w:p>
        </w:tc>
        <w:tc>
          <w:tcPr>
            <w:tcW w:type="dxa" w:w="1881"/>
            <w:vAlign w:val="center"/>
          </w:tcPr>
          <w:p>
            <w:pPr>
              <w:jc w:val="center"/>
            </w:pPr>
            <w:r/>
            <w:r>
              <w:rPr>
                <w:rFonts w:ascii="Times New Roman" w:hAnsi="Times New Roman" w:eastAsia="宋体"/>
                <w:sz w:val="20"/>
              </w:rPr>
              <w:t>0.967</w:t>
            </w:r>
          </w:p>
        </w:tc>
      </w:tr>
      <w:tr>
        <w:tc>
          <w:tcPr>
            <w:tcW w:type="dxa" w:w="1881"/>
            <w:vAlign w:val="center"/>
          </w:tcPr>
          <w:p>
            <w:pPr>
              <w:jc w:val="center"/>
            </w:pPr>
            <w:r/>
            <w:r>
              <w:rPr>
                <w:rFonts w:ascii="Times New Roman" w:hAnsi="Times New Roman" w:eastAsia="宋体"/>
                <w:sz w:val="20"/>
              </w:rPr>
              <w:t>0.65 (选定)</w:t>
            </w:r>
          </w:p>
        </w:tc>
        <w:tc>
          <w:tcPr>
            <w:tcW w:type="dxa" w:w="1881"/>
            <w:vAlign w:val="center"/>
          </w:tcPr>
          <w:p>
            <w:pPr>
              <w:jc w:val="center"/>
            </w:pPr>
            <w:r/>
            <w:r>
              <w:rPr>
                <w:rFonts w:ascii="Times New Roman" w:hAnsi="Times New Roman" w:eastAsia="宋体"/>
                <w:sz w:val="20"/>
              </w:rPr>
              <w:t>93.3</w:t>
            </w:r>
          </w:p>
        </w:tc>
        <w:tc>
          <w:tcPr>
            <w:tcW w:type="dxa" w:w="1881"/>
            <w:vAlign w:val="center"/>
          </w:tcPr>
          <w:p>
            <w:pPr>
              <w:jc w:val="center"/>
            </w:pPr>
            <w:r/>
            <w:r>
              <w:rPr>
                <w:rFonts w:ascii="Times New Roman" w:hAnsi="Times New Roman" w:eastAsia="宋体"/>
                <w:sz w:val="20"/>
              </w:rPr>
              <w:t>0.0</w:t>
            </w:r>
          </w:p>
        </w:tc>
        <w:tc>
          <w:tcPr>
            <w:tcW w:type="dxa" w:w="1881"/>
            <w:vAlign w:val="center"/>
          </w:tcPr>
          <w:p>
            <w:pPr>
              <w:jc w:val="center"/>
            </w:pPr>
            <w:r/>
            <w:r>
              <w:rPr>
                <w:rFonts w:ascii="Times New Roman" w:hAnsi="Times New Roman" w:eastAsia="宋体"/>
                <w:sz w:val="20"/>
              </w:rPr>
              <w:t>97.1</w:t>
            </w:r>
          </w:p>
        </w:tc>
        <w:tc>
          <w:tcPr>
            <w:tcW w:type="dxa" w:w="1881"/>
            <w:vAlign w:val="center"/>
          </w:tcPr>
          <w:p>
            <w:pPr>
              <w:jc w:val="center"/>
            </w:pPr>
            <w:r/>
            <w:r>
              <w:rPr>
                <w:rFonts w:ascii="Times New Roman" w:hAnsi="Times New Roman" w:eastAsia="宋体"/>
                <w:sz w:val="20"/>
              </w:rPr>
              <w:t>0.966</w:t>
            </w:r>
          </w:p>
        </w:tc>
      </w:tr>
      <w:tr>
        <w:tc>
          <w:tcPr>
            <w:tcW w:type="dxa" w:w="1881"/>
            <w:vAlign w:val="center"/>
          </w:tcPr>
          <w:p>
            <w:pPr>
              <w:jc w:val="center"/>
            </w:pPr>
            <w:r/>
            <w:r>
              <w:rPr>
                <w:rFonts w:ascii="Times New Roman" w:hAnsi="Times New Roman" w:eastAsia="宋体"/>
                <w:sz w:val="20"/>
              </w:rPr>
              <w:t>0.70</w:t>
            </w:r>
          </w:p>
        </w:tc>
        <w:tc>
          <w:tcPr>
            <w:tcW w:type="dxa" w:w="1881"/>
            <w:vAlign w:val="center"/>
          </w:tcPr>
          <w:p>
            <w:pPr>
              <w:jc w:val="center"/>
            </w:pPr>
            <w:r/>
            <w:r>
              <w:rPr>
                <w:rFonts w:ascii="Times New Roman" w:hAnsi="Times New Roman" w:eastAsia="宋体"/>
                <w:sz w:val="20"/>
              </w:rPr>
              <w:t>86.7</w:t>
            </w:r>
          </w:p>
        </w:tc>
        <w:tc>
          <w:tcPr>
            <w:tcW w:type="dxa" w:w="1881"/>
            <w:vAlign w:val="center"/>
          </w:tcPr>
          <w:p>
            <w:pPr>
              <w:jc w:val="center"/>
            </w:pPr>
            <w:r/>
            <w:r>
              <w:rPr>
                <w:rFonts w:ascii="Times New Roman" w:hAnsi="Times New Roman" w:eastAsia="宋体"/>
                <w:sz w:val="20"/>
              </w:rPr>
              <w:t>0.0</w:t>
            </w:r>
          </w:p>
        </w:tc>
        <w:tc>
          <w:tcPr>
            <w:tcW w:type="dxa" w:w="1881"/>
            <w:vAlign w:val="center"/>
          </w:tcPr>
          <w:p>
            <w:pPr>
              <w:jc w:val="center"/>
            </w:pPr>
            <w:r/>
            <w:r>
              <w:rPr>
                <w:rFonts w:ascii="Times New Roman" w:hAnsi="Times New Roman" w:eastAsia="宋体"/>
                <w:sz w:val="20"/>
              </w:rPr>
              <w:t>94.3</w:t>
            </w:r>
          </w:p>
        </w:tc>
        <w:tc>
          <w:tcPr>
            <w:tcW w:type="dxa" w:w="1881"/>
            <w:vAlign w:val="center"/>
          </w:tcPr>
          <w:p>
            <w:pPr>
              <w:jc w:val="center"/>
            </w:pPr>
            <w:r/>
            <w:r>
              <w:rPr>
                <w:rFonts w:ascii="Times New Roman" w:hAnsi="Times New Roman" w:eastAsia="宋体"/>
                <w:sz w:val="20"/>
              </w:rPr>
              <w:t>0.929</w:t>
            </w:r>
          </w:p>
        </w:tc>
      </w:tr>
      <w:tr>
        <w:tc>
          <w:tcPr>
            <w:tcW w:type="dxa" w:w="1881"/>
            <w:vAlign w:val="center"/>
          </w:tcPr>
          <w:p>
            <w:pPr>
              <w:jc w:val="center"/>
            </w:pPr>
            <w:r/>
            <w:r>
              <w:rPr>
                <w:rFonts w:ascii="Times New Roman" w:hAnsi="Times New Roman" w:eastAsia="宋体"/>
                <w:sz w:val="20"/>
              </w:rPr>
              <w:t>0.75</w:t>
            </w:r>
          </w:p>
        </w:tc>
        <w:tc>
          <w:tcPr>
            <w:tcW w:type="dxa" w:w="1881"/>
            <w:vAlign w:val="center"/>
          </w:tcPr>
          <w:p>
            <w:pPr>
              <w:jc w:val="center"/>
            </w:pPr>
            <w:r/>
            <w:r>
              <w:rPr>
                <w:rFonts w:ascii="Times New Roman" w:hAnsi="Times New Roman" w:eastAsia="宋体"/>
                <w:sz w:val="20"/>
              </w:rPr>
              <w:t>76.7</w:t>
            </w:r>
          </w:p>
        </w:tc>
        <w:tc>
          <w:tcPr>
            <w:tcW w:type="dxa" w:w="1881"/>
            <w:vAlign w:val="center"/>
          </w:tcPr>
          <w:p>
            <w:pPr>
              <w:jc w:val="center"/>
            </w:pPr>
            <w:r/>
            <w:r>
              <w:rPr>
                <w:rFonts w:ascii="Times New Roman" w:hAnsi="Times New Roman" w:eastAsia="宋体"/>
                <w:sz w:val="20"/>
              </w:rPr>
              <w:t>0.0</w:t>
            </w:r>
          </w:p>
        </w:tc>
        <w:tc>
          <w:tcPr>
            <w:tcW w:type="dxa" w:w="1881"/>
            <w:vAlign w:val="center"/>
          </w:tcPr>
          <w:p>
            <w:pPr>
              <w:jc w:val="center"/>
            </w:pPr>
            <w:r/>
            <w:r>
              <w:rPr>
                <w:rFonts w:ascii="Times New Roman" w:hAnsi="Times New Roman" w:eastAsia="宋体"/>
                <w:sz w:val="20"/>
              </w:rPr>
              <w:t>88.6</w:t>
            </w:r>
          </w:p>
        </w:tc>
        <w:tc>
          <w:tcPr>
            <w:tcW w:type="dxa" w:w="1881"/>
            <w:vAlign w:val="center"/>
          </w:tcPr>
          <w:p>
            <w:pPr>
              <w:jc w:val="center"/>
            </w:pPr>
            <w:r/>
            <w:r>
              <w:rPr>
                <w:rFonts w:ascii="Times New Roman" w:hAnsi="Times New Roman" w:eastAsia="宋体"/>
                <w:sz w:val="20"/>
              </w:rPr>
              <w:t>0.868</w:t>
            </w:r>
          </w:p>
        </w:tc>
      </w:tr>
      <w:tr>
        <w:tc>
          <w:tcPr>
            <w:tcW w:type="dxa" w:w="1881"/>
            <w:vAlign w:val="center"/>
          </w:tcPr>
          <w:p>
            <w:pPr>
              <w:jc w:val="center"/>
            </w:pPr>
            <w:r/>
            <w:r>
              <w:rPr>
                <w:rFonts w:ascii="Times New Roman" w:hAnsi="Times New Roman" w:eastAsia="宋体"/>
                <w:sz w:val="20"/>
              </w:rPr>
              <w:t>0.80</w:t>
            </w:r>
          </w:p>
        </w:tc>
        <w:tc>
          <w:tcPr>
            <w:tcW w:type="dxa" w:w="1881"/>
            <w:vAlign w:val="center"/>
          </w:tcPr>
          <w:p>
            <w:pPr>
              <w:jc w:val="center"/>
            </w:pPr>
            <w:r/>
            <w:r>
              <w:rPr>
                <w:rFonts w:ascii="Times New Roman" w:hAnsi="Times New Roman" w:eastAsia="宋体"/>
                <w:sz w:val="20"/>
              </w:rPr>
              <w:t>60.0</w:t>
            </w:r>
          </w:p>
        </w:tc>
        <w:tc>
          <w:tcPr>
            <w:tcW w:type="dxa" w:w="1881"/>
            <w:vAlign w:val="center"/>
          </w:tcPr>
          <w:p>
            <w:pPr>
              <w:jc w:val="center"/>
            </w:pPr>
            <w:r/>
            <w:r>
              <w:rPr>
                <w:rFonts w:ascii="Times New Roman" w:hAnsi="Times New Roman" w:eastAsia="宋体"/>
                <w:sz w:val="20"/>
              </w:rPr>
              <w:t>0.0</w:t>
            </w:r>
          </w:p>
        </w:tc>
        <w:tc>
          <w:tcPr>
            <w:tcW w:type="dxa" w:w="1881"/>
            <w:vAlign w:val="center"/>
          </w:tcPr>
          <w:p>
            <w:pPr>
              <w:jc w:val="center"/>
            </w:pPr>
            <w:r/>
            <w:r>
              <w:rPr>
                <w:rFonts w:ascii="Times New Roman" w:hAnsi="Times New Roman" w:eastAsia="宋体"/>
                <w:sz w:val="20"/>
              </w:rPr>
              <w:t>80.0</w:t>
            </w:r>
          </w:p>
        </w:tc>
        <w:tc>
          <w:tcPr>
            <w:tcW w:type="dxa" w:w="1881"/>
            <w:vAlign w:val="center"/>
          </w:tcPr>
          <w:p>
            <w:pPr>
              <w:jc w:val="center"/>
            </w:pPr>
            <w:r/>
            <w:r>
              <w:rPr>
                <w:rFonts w:ascii="Times New Roman" w:hAnsi="Times New Roman" w:eastAsia="宋体"/>
                <w:sz w:val="20"/>
              </w:rPr>
              <w:t>0.750</w:t>
            </w:r>
          </w:p>
        </w:tc>
      </w:tr>
    </w:tbl>
    <w:p/>
    <w:p>
      <w:pPr>
        <w:jc w:val="center"/>
      </w:pPr>
      <w:r>
        <w:rPr>
          <w:rFonts w:ascii="Times New Roman" w:hAnsi="Times New Roman" w:eastAsia="宋体"/>
          <w:b/>
          <w:color w:val="C0504D"/>
          <w:sz w:val="20"/>
        </w:rPr>
        <w:t>【图 4-1】ROC 曲线（横轴：FAR，纵轴：TAR，标出 EER 等错误率点与选定的工作阈值 0.65；AUC ≈ 0.97）</w:t>
      </w:r>
    </w:p>
    <w:p>
      <w:pPr>
        <w:jc w:val="center"/>
      </w:pPr>
      <w:r>
        <w:rPr>
          <w:rFonts w:ascii="Times New Roman" w:hAnsi="Times New Roman" w:eastAsia="宋体"/>
          <w:b/>
          <w:color w:val="C0504D"/>
          <w:sz w:val="20"/>
        </w:rPr>
        <w:t>【图 4-2】相似度分数分布直方图（同一图内叠加正样本蓝色分布、负样本红色分布，中间标出判定阈值 0.65 的垂直分割线）</w:t>
      </w:r>
    </w:p>
    <w:p>
      <w:pPr>
        <w:jc w:val="center"/>
      </w:pPr>
      <w:r>
        <w:rPr>
          <w:rFonts w:ascii="Times New Roman" w:hAnsi="Times New Roman" w:eastAsia="宋体"/>
          <w:b/>
          <w:color w:val="C0504D"/>
          <w:sz w:val="20"/>
        </w:rPr>
        <w:t>【表 4-2】0.65 阈值下的混淆矩阵</w:t>
      </w:r>
    </w:p>
    <w:tbl>
      <w:tblPr>
        <w:tblStyle w:val="LightGrid-Accent1"/>
        <w:tblW w:type="auto" w:w="0"/>
        <w:tblLook w:firstColumn="1" w:firstRow="1" w:lastColumn="0" w:lastRow="0" w:noHBand="0" w:noVBand="1" w:val="04A0"/>
      </w:tblPr>
      <w:tblGrid>
        <w:gridCol w:w="3135"/>
        <w:gridCol w:w="3135"/>
        <w:gridCol w:w="3135"/>
      </w:tblGrid>
      <w:tr>
        <w:tc>
          <w:tcPr>
            <w:tcW w:type="dxa" w:w="3135"/>
            <w:vAlign w:val="center"/>
          </w:tcPr>
          <w:p>
            <w:pPr>
              <w:jc w:val="center"/>
            </w:pPr>
            <w:r/>
            <w:r>
              <w:rPr>
                <w:rFonts w:ascii="Times New Roman" w:hAnsi="Times New Roman" w:eastAsia="宋体"/>
                <w:b/>
                <w:sz w:val="20"/>
              </w:rPr>
            </w:r>
          </w:p>
        </w:tc>
        <w:tc>
          <w:tcPr>
            <w:tcW w:type="dxa" w:w="3135"/>
            <w:vAlign w:val="center"/>
          </w:tcPr>
          <w:p>
            <w:pPr>
              <w:jc w:val="center"/>
            </w:pPr>
            <w:r/>
            <w:r>
              <w:rPr>
                <w:rFonts w:ascii="Times New Roman" w:hAnsi="Times New Roman" w:eastAsia="宋体"/>
                <w:b/>
                <w:sz w:val="20"/>
              </w:rPr>
              <w:t>判定为通过</w:t>
            </w:r>
          </w:p>
        </w:tc>
        <w:tc>
          <w:tcPr>
            <w:tcW w:type="dxa" w:w="3135"/>
            <w:vAlign w:val="center"/>
          </w:tcPr>
          <w:p>
            <w:pPr>
              <w:jc w:val="center"/>
            </w:pPr>
            <w:r/>
            <w:r>
              <w:rPr>
                <w:rFonts w:ascii="Times New Roman" w:hAnsi="Times New Roman" w:eastAsia="宋体"/>
                <w:b/>
                <w:sz w:val="20"/>
              </w:rPr>
              <w:t>判定为拒绝</w:t>
            </w:r>
          </w:p>
        </w:tc>
      </w:tr>
      <w:tr>
        <w:tc>
          <w:tcPr>
            <w:tcW w:type="dxa" w:w="3135"/>
            <w:vAlign w:val="center"/>
          </w:tcPr>
          <w:p>
            <w:pPr>
              <w:jc w:val="center"/>
            </w:pPr>
            <w:r/>
            <w:r>
              <w:rPr>
                <w:rFonts w:ascii="Times New Roman" w:hAnsi="Times New Roman" w:eastAsia="宋体"/>
                <w:sz w:val="20"/>
              </w:rPr>
              <w:t>实际正样本 (30)</w:t>
            </w:r>
          </w:p>
        </w:tc>
        <w:tc>
          <w:tcPr>
            <w:tcW w:type="dxa" w:w="3135"/>
            <w:vAlign w:val="center"/>
          </w:tcPr>
          <w:p>
            <w:pPr>
              <w:jc w:val="center"/>
            </w:pPr>
            <w:r/>
            <w:r>
              <w:rPr>
                <w:rFonts w:ascii="Times New Roman" w:hAnsi="Times New Roman" w:eastAsia="宋体"/>
                <w:sz w:val="20"/>
              </w:rPr>
              <w:t>28 (TP)</w:t>
            </w:r>
          </w:p>
        </w:tc>
        <w:tc>
          <w:tcPr>
            <w:tcW w:type="dxa" w:w="3135"/>
            <w:vAlign w:val="center"/>
          </w:tcPr>
          <w:p>
            <w:pPr>
              <w:jc w:val="center"/>
            </w:pPr>
            <w:r/>
            <w:r>
              <w:rPr>
                <w:rFonts w:ascii="Times New Roman" w:hAnsi="Times New Roman" w:eastAsia="宋体"/>
                <w:sz w:val="20"/>
              </w:rPr>
              <w:t>2 (FN)</w:t>
            </w:r>
          </w:p>
        </w:tc>
      </w:tr>
      <w:tr>
        <w:tc>
          <w:tcPr>
            <w:tcW w:type="dxa" w:w="3135"/>
            <w:vAlign w:val="center"/>
          </w:tcPr>
          <w:p>
            <w:pPr>
              <w:jc w:val="center"/>
            </w:pPr>
            <w:r/>
            <w:r>
              <w:rPr>
                <w:rFonts w:ascii="Times New Roman" w:hAnsi="Times New Roman" w:eastAsia="宋体"/>
                <w:sz w:val="20"/>
              </w:rPr>
              <w:t>实际负样本 (30)</w:t>
            </w:r>
          </w:p>
        </w:tc>
        <w:tc>
          <w:tcPr>
            <w:tcW w:type="dxa" w:w="3135"/>
            <w:vAlign w:val="center"/>
          </w:tcPr>
          <w:p>
            <w:pPr>
              <w:jc w:val="center"/>
            </w:pPr>
            <w:r/>
            <w:r>
              <w:rPr>
                <w:rFonts w:ascii="Times New Roman" w:hAnsi="Times New Roman" w:eastAsia="宋体"/>
                <w:sz w:val="20"/>
              </w:rPr>
              <w:t>0 (FP)</w:t>
            </w:r>
          </w:p>
        </w:tc>
        <w:tc>
          <w:tcPr>
            <w:tcW w:type="dxa" w:w="3135"/>
            <w:vAlign w:val="center"/>
          </w:tcPr>
          <w:p>
            <w:pPr>
              <w:jc w:val="center"/>
            </w:pPr>
            <w:r/>
            <w:r>
              <w:rPr>
                <w:rFonts w:ascii="Times New Roman" w:hAnsi="Times New Roman" w:eastAsia="宋体"/>
                <w:sz w:val="20"/>
              </w:rPr>
              <w:t>30 (TN)</w:t>
            </w:r>
          </w:p>
        </w:tc>
      </w:tr>
      <w:tr>
        <w:tc>
          <w:tcPr>
            <w:tcW w:type="dxa" w:w="3135"/>
            <w:vAlign w:val="center"/>
          </w:tcPr>
          <w:p>
            <w:pPr>
              <w:jc w:val="center"/>
            </w:pPr>
            <w:r/>
            <w:r>
              <w:rPr>
                <w:rFonts w:ascii="Times New Roman" w:hAnsi="Times New Roman" w:eastAsia="宋体"/>
                <w:sz w:val="20"/>
              </w:rPr>
              <w:t>无脸样本 (10)</w:t>
            </w:r>
          </w:p>
        </w:tc>
        <w:tc>
          <w:tcPr>
            <w:tcW w:type="dxa" w:w="3135"/>
            <w:vAlign w:val="center"/>
          </w:tcPr>
          <w:p>
            <w:pPr>
              <w:jc w:val="center"/>
            </w:pPr>
            <w:r/>
            <w:r>
              <w:rPr>
                <w:rFonts w:ascii="Times New Roman" w:hAnsi="Times New Roman" w:eastAsia="宋体"/>
                <w:sz w:val="20"/>
              </w:rPr>
              <w:t>0</w:t>
            </w:r>
          </w:p>
        </w:tc>
        <w:tc>
          <w:tcPr>
            <w:tcW w:type="dxa" w:w="3135"/>
            <w:vAlign w:val="center"/>
          </w:tcPr>
          <w:p>
            <w:pPr>
              <w:jc w:val="center"/>
            </w:pPr>
            <w:r/>
            <w:r>
              <w:rPr>
                <w:rFonts w:ascii="Times New Roman" w:hAnsi="Times New Roman" w:eastAsia="宋体"/>
                <w:sz w:val="20"/>
              </w:rPr>
              <w:t>10 (正确拒识)</w:t>
            </w:r>
          </w:p>
        </w:tc>
      </w:tr>
    </w:tbl>
    <w:p/>
    <w:p>
      <w:pPr>
        <w:spacing w:before="240" w:after="120"/>
      </w:pPr>
      <w:r>
        <w:rPr>
          <w:rFonts w:ascii="Times New Roman" w:hAnsi="Times New Roman" w:eastAsia="宋体"/>
          <w:b/>
          <w:sz w:val="28"/>
        </w:rPr>
        <w:t>4.4 结果分析</w:t>
      </w:r>
    </w:p>
    <w:p>
      <w:pPr>
        <w:spacing w:line="360" w:lineRule="auto"/>
        <w:ind w:firstLine="420"/>
      </w:pPr>
      <w:r>
        <w:rPr>
          <w:rFonts w:ascii="Times New Roman" w:hAnsi="Times New Roman" w:eastAsia="宋体"/>
          <w:b w:val="0"/>
          <w:sz w:val="22"/>
        </w:rPr>
        <w:t>系统在 0.65 阈值下同时达到 93.3% 的 TAR 与 0% 的 FAR，AUC 达到 0.97，属于工程可用水平。选择 0.65 而非最高 F1 对应的 0.60 是出于安全优先的考虑：智能锁场景下，误接受一次陌生人的代价远大于本人多试一次的代价，因此将 FAR 严格控制在 0 是必要的取舍。</w:t>
      </w:r>
    </w:p>
    <w:p>
      <w:pPr>
        <w:spacing w:line="360" w:lineRule="auto"/>
        <w:ind w:firstLine="420"/>
      </w:pPr>
      <w:r>
        <w:rPr>
          <w:rFonts w:ascii="Times New Roman" w:hAnsi="Times New Roman" w:eastAsia="宋体"/>
          <w:b w:val="0"/>
          <w:sz w:val="22"/>
        </w:rPr>
        <w:t>两个未通过的正样本经检查为大角度侧脸（&gt;30°）和强背光条件下的照片，这两种情形本身也是主流人脸识别系统的公认难点。后续优化方向：一是在录入模板阶段增加多角度样本聚合（当前 enroll_face.py 已支持 8 张采样求均值），二是在推理前引入光照归一化预处理。</w:t>
      </w:r>
    </w:p>
    <w:p>
      <w:pPr>
        <w:spacing w:line="360" w:lineRule="auto"/>
        <w:ind w:firstLine="420"/>
      </w:pPr>
      <w:r>
        <w:rPr>
          <w:rFonts w:ascii="Times New Roman" w:hAnsi="Times New Roman" w:eastAsia="宋体"/>
          <w:b w:val="0"/>
          <w:sz w:val="22"/>
        </w:rPr>
        <w:t>无脸样本被 100% 正确拒识，说明 DNN 检测器在前置阶段能有效过滤无效输入，避免了将背景误判为人脸的情况。</w:t>
      </w:r>
    </w:p>
    <w:p>
      <w:pPr>
        <w:spacing w:before="240" w:after="120"/>
      </w:pPr>
      <w:r>
        <w:rPr>
          <w:rFonts w:ascii="Times New Roman" w:hAnsi="Times New Roman" w:eastAsia="宋体"/>
          <w:b/>
          <w:sz w:val="32"/>
        </w:rPr>
        <w:t>五、安全性测试</w:t>
      </w:r>
    </w:p>
    <w:p>
      <w:pPr>
        <w:spacing w:before="240" w:after="120"/>
      </w:pPr>
      <w:r>
        <w:rPr>
          <w:rFonts w:ascii="Times New Roman" w:hAnsi="Times New Roman" w:eastAsia="宋体"/>
          <w:b/>
          <w:sz w:val="28"/>
        </w:rPr>
        <w:t>5.1 测试目的</w:t>
      </w:r>
    </w:p>
    <w:p>
      <w:pPr>
        <w:spacing w:line="360" w:lineRule="auto"/>
        <w:ind w:firstLine="420"/>
      </w:pPr>
      <w:r>
        <w:rPr>
          <w:rFonts w:ascii="Times New Roman" w:hAnsi="Times New Roman" w:eastAsia="宋体"/>
          <w:b w:val="0"/>
          <w:sz w:val="22"/>
        </w:rPr>
        <w:t>安全性是智能锁的核心诉求。本项目在设计阶段就引入了多因子认证（MFA）、SPAKE2 安全握手、访客码哈希存储、防暴力破解等安全机制。本节通过针对性用例验证这些机制在实际运行中是否生效。</w:t>
      </w:r>
    </w:p>
    <w:p>
      <w:pPr>
        <w:spacing w:before="240" w:after="120"/>
      </w:pPr>
      <w:r>
        <w:rPr>
          <w:rFonts w:ascii="Times New Roman" w:hAnsi="Times New Roman" w:eastAsia="宋体"/>
          <w:b/>
          <w:sz w:val="28"/>
        </w:rPr>
        <w:t>5.2 测试方案与结果</w:t>
      </w:r>
    </w:p>
    <w:p>
      <w:pPr>
        <w:spacing w:line="360" w:lineRule="auto"/>
        <w:ind w:firstLine="420"/>
      </w:pPr>
      <w:r>
        <w:rPr>
          <w:rFonts w:ascii="Times New Roman" w:hAnsi="Times New Roman" w:eastAsia="宋体"/>
          <w:b w:val="0"/>
          <w:sz w:val="22"/>
        </w:rPr>
        <w:t>安全性测试覆盖四个维度，每个维度以脚本或人工方式发起攻击/异常操作，验证系统响应。</w:t>
      </w:r>
    </w:p>
    <w:p>
      <w:pPr>
        <w:jc w:val="center"/>
      </w:pPr>
      <w:r>
        <w:rPr>
          <w:rFonts w:ascii="Times New Roman" w:hAnsi="Times New Roman" w:eastAsia="宋体"/>
          <w:b/>
          <w:color w:val="C0504D"/>
          <w:sz w:val="20"/>
        </w:rPr>
        <w:t>【表 5-1】安全性测试用例与结果汇总</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vAlign w:val="center"/>
          </w:tcPr>
          <w:p>
            <w:pPr>
              <w:jc w:val="center"/>
            </w:pPr>
            <w:r/>
            <w:r>
              <w:rPr>
                <w:rFonts w:ascii="Times New Roman" w:hAnsi="Times New Roman" w:eastAsia="宋体"/>
                <w:b/>
                <w:sz w:val="20"/>
              </w:rPr>
              <w:t>维度</w:t>
            </w:r>
          </w:p>
        </w:tc>
        <w:tc>
          <w:tcPr>
            <w:tcW w:type="dxa" w:w="2351"/>
            <w:vAlign w:val="center"/>
          </w:tcPr>
          <w:p>
            <w:pPr>
              <w:jc w:val="center"/>
            </w:pPr>
            <w:r/>
            <w:r>
              <w:rPr>
                <w:rFonts w:ascii="Times New Roman" w:hAnsi="Times New Roman" w:eastAsia="宋体"/>
                <w:b/>
                <w:sz w:val="20"/>
              </w:rPr>
              <w:t>测试用例</w:t>
            </w:r>
          </w:p>
        </w:tc>
        <w:tc>
          <w:tcPr>
            <w:tcW w:type="dxa" w:w="2351"/>
            <w:vAlign w:val="center"/>
          </w:tcPr>
          <w:p>
            <w:pPr>
              <w:jc w:val="center"/>
            </w:pPr>
            <w:r/>
            <w:r>
              <w:rPr>
                <w:rFonts w:ascii="Times New Roman" w:hAnsi="Times New Roman" w:eastAsia="宋体"/>
                <w:b/>
                <w:sz w:val="20"/>
              </w:rPr>
              <w:t>期望结果</w:t>
            </w:r>
          </w:p>
        </w:tc>
        <w:tc>
          <w:tcPr>
            <w:tcW w:type="dxa" w:w="2351"/>
            <w:vAlign w:val="center"/>
          </w:tcPr>
          <w:p>
            <w:pPr>
              <w:jc w:val="center"/>
            </w:pPr>
            <w:r/>
            <w:r>
              <w:rPr>
                <w:rFonts w:ascii="Times New Roman" w:hAnsi="Times New Roman" w:eastAsia="宋体"/>
                <w:b/>
                <w:sz w:val="20"/>
              </w:rPr>
              <w:t>实际结果</w:t>
            </w:r>
          </w:p>
        </w:tc>
      </w:tr>
      <w:tr>
        <w:tc>
          <w:tcPr>
            <w:tcW w:type="dxa" w:w="2351"/>
            <w:vAlign w:val="center"/>
          </w:tcPr>
          <w:p>
            <w:pPr>
              <w:jc w:val="center"/>
            </w:pPr>
            <w:r/>
            <w:r>
              <w:rPr>
                <w:rFonts w:ascii="Times New Roman" w:hAnsi="Times New Roman" w:eastAsia="宋体"/>
                <w:sz w:val="20"/>
              </w:rPr>
              <w:t>防暴力破解</w:t>
            </w:r>
          </w:p>
        </w:tc>
        <w:tc>
          <w:tcPr>
            <w:tcW w:type="dxa" w:w="2351"/>
            <w:vAlign w:val="center"/>
          </w:tcPr>
          <w:p>
            <w:pPr>
              <w:jc w:val="center"/>
            </w:pPr>
            <w:r/>
            <w:r>
              <w:rPr>
                <w:rFonts w:ascii="Times New Roman" w:hAnsi="Times New Roman" w:eastAsia="宋体"/>
                <w:sz w:val="20"/>
              </w:rPr>
              <w:t>连续 5 次错误 TOTP</w:t>
            </w:r>
          </w:p>
        </w:tc>
        <w:tc>
          <w:tcPr>
            <w:tcW w:type="dxa" w:w="2351"/>
            <w:vAlign w:val="center"/>
          </w:tcPr>
          <w:p>
            <w:pPr>
              <w:jc w:val="center"/>
            </w:pPr>
            <w:r/>
            <w:r>
              <w:rPr>
                <w:rFonts w:ascii="Times New Roman" w:hAnsi="Times New Roman" w:eastAsia="宋体"/>
                <w:sz w:val="20"/>
              </w:rPr>
              <w:t>第 5 次后设备被锁定，返回 423 DEVICE_LOCKED</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防暴力破解</w:t>
            </w:r>
          </w:p>
        </w:tc>
        <w:tc>
          <w:tcPr>
            <w:tcW w:type="dxa" w:w="2351"/>
            <w:vAlign w:val="center"/>
          </w:tcPr>
          <w:p>
            <w:pPr>
              <w:jc w:val="center"/>
            </w:pPr>
            <w:r/>
            <w:r>
              <w:rPr>
                <w:rFonts w:ascii="Times New Roman" w:hAnsi="Times New Roman" w:eastAsia="宋体"/>
                <w:sz w:val="20"/>
              </w:rPr>
              <w:t>锁定后正常 TOTP</w:t>
            </w:r>
          </w:p>
        </w:tc>
        <w:tc>
          <w:tcPr>
            <w:tcW w:type="dxa" w:w="2351"/>
            <w:vAlign w:val="center"/>
          </w:tcPr>
          <w:p>
            <w:pPr>
              <w:jc w:val="center"/>
            </w:pPr>
            <w:r/>
            <w:r>
              <w:rPr>
                <w:rFonts w:ascii="Times New Roman" w:hAnsi="Times New Roman" w:eastAsia="宋体"/>
                <w:sz w:val="20"/>
              </w:rPr>
              <w:t>仍拒绝，需管理员解锁</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防暴力破解</w:t>
            </w:r>
          </w:p>
        </w:tc>
        <w:tc>
          <w:tcPr>
            <w:tcW w:type="dxa" w:w="2351"/>
            <w:vAlign w:val="center"/>
          </w:tcPr>
          <w:p>
            <w:pPr>
              <w:jc w:val="center"/>
            </w:pPr>
            <w:r/>
            <w:r>
              <w:rPr>
                <w:rFonts w:ascii="Times New Roman" w:hAnsi="Times New Roman" w:eastAsia="宋体"/>
                <w:sz w:val="20"/>
              </w:rPr>
              <w:t>管理员 /api/mfa/admin/device/unlock</w:t>
            </w:r>
          </w:p>
        </w:tc>
        <w:tc>
          <w:tcPr>
            <w:tcW w:type="dxa" w:w="2351"/>
            <w:vAlign w:val="center"/>
          </w:tcPr>
          <w:p>
            <w:pPr>
              <w:jc w:val="center"/>
            </w:pPr>
            <w:r/>
            <w:r>
              <w:rPr>
                <w:rFonts w:ascii="Times New Roman" w:hAnsi="Times New Roman" w:eastAsia="宋体"/>
                <w:sz w:val="20"/>
              </w:rPr>
              <w:t>解锁成功，可重新认证</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SPAKE2 握手</w:t>
            </w:r>
          </w:p>
        </w:tc>
        <w:tc>
          <w:tcPr>
            <w:tcW w:type="dxa" w:w="2351"/>
            <w:vAlign w:val="center"/>
          </w:tcPr>
          <w:p>
            <w:pPr>
              <w:jc w:val="center"/>
            </w:pPr>
            <w:r/>
            <w:r>
              <w:rPr>
                <w:rFonts w:ascii="Times New Roman" w:hAnsi="Times New Roman" w:eastAsia="宋体"/>
                <w:sz w:val="20"/>
              </w:rPr>
              <w:t>篡改 ciphertext 字节</w:t>
            </w:r>
          </w:p>
        </w:tc>
        <w:tc>
          <w:tcPr>
            <w:tcW w:type="dxa" w:w="2351"/>
            <w:vAlign w:val="center"/>
          </w:tcPr>
          <w:p>
            <w:pPr>
              <w:jc w:val="center"/>
            </w:pPr>
            <w:r/>
            <w:r>
              <w:rPr>
                <w:rFonts w:ascii="Times New Roman" w:hAnsi="Times New Roman" w:eastAsia="宋体"/>
                <w:sz w:val="20"/>
              </w:rPr>
              <w:t>HMAC 校验失败，拒绝</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SPAKE2 握手</w:t>
            </w:r>
          </w:p>
        </w:tc>
        <w:tc>
          <w:tcPr>
            <w:tcW w:type="dxa" w:w="2351"/>
            <w:vAlign w:val="center"/>
          </w:tcPr>
          <w:p>
            <w:pPr>
              <w:jc w:val="center"/>
            </w:pPr>
            <w:r/>
            <w:r>
              <w:rPr>
                <w:rFonts w:ascii="Times New Roman" w:hAnsi="Times New Roman" w:eastAsia="宋体"/>
                <w:sz w:val="20"/>
              </w:rPr>
              <w:t>重放旧 request_id</w:t>
            </w:r>
          </w:p>
        </w:tc>
        <w:tc>
          <w:tcPr>
            <w:tcW w:type="dxa" w:w="2351"/>
            <w:vAlign w:val="center"/>
          </w:tcPr>
          <w:p>
            <w:pPr>
              <w:jc w:val="center"/>
            </w:pPr>
            <w:r/>
            <w:r>
              <w:rPr>
                <w:rFonts w:ascii="Times New Roman" w:hAnsi="Times New Roman" w:eastAsia="宋体"/>
                <w:sz w:val="20"/>
              </w:rPr>
              <w:t>Nonce 校验失败</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SPAKE2 握手</w:t>
            </w:r>
          </w:p>
        </w:tc>
        <w:tc>
          <w:tcPr>
            <w:tcW w:type="dxa" w:w="2351"/>
            <w:vAlign w:val="center"/>
          </w:tcPr>
          <w:p>
            <w:pPr>
              <w:jc w:val="center"/>
            </w:pPr>
            <w:r/>
            <w:r>
              <w:rPr>
                <w:rFonts w:ascii="Times New Roman" w:hAnsi="Times New Roman" w:eastAsia="宋体"/>
                <w:sz w:val="20"/>
              </w:rPr>
              <w:t>使用错误共享口令</w:t>
            </w:r>
          </w:p>
        </w:tc>
        <w:tc>
          <w:tcPr>
            <w:tcW w:type="dxa" w:w="2351"/>
            <w:vAlign w:val="center"/>
          </w:tcPr>
          <w:p>
            <w:pPr>
              <w:jc w:val="center"/>
            </w:pPr>
            <w:r/>
            <w:r>
              <w:rPr>
                <w:rFonts w:ascii="Times New Roman" w:hAnsi="Times New Roman" w:eastAsia="宋体"/>
                <w:sz w:val="20"/>
              </w:rPr>
              <w:t>密钥推导后 HMAC 挑战失败</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权限控制</w:t>
            </w:r>
          </w:p>
        </w:tc>
        <w:tc>
          <w:tcPr>
            <w:tcW w:type="dxa" w:w="2351"/>
            <w:vAlign w:val="center"/>
          </w:tcPr>
          <w:p>
            <w:pPr>
              <w:jc w:val="center"/>
            </w:pPr>
            <w:r/>
            <w:r>
              <w:rPr>
                <w:rFonts w:ascii="Times New Roman" w:hAnsi="Times New Roman" w:eastAsia="宋体"/>
                <w:sz w:val="20"/>
              </w:rPr>
              <w:t>普通用户 JWT 调 /api/admin/users</w:t>
            </w:r>
          </w:p>
        </w:tc>
        <w:tc>
          <w:tcPr>
            <w:tcW w:type="dxa" w:w="2351"/>
            <w:vAlign w:val="center"/>
          </w:tcPr>
          <w:p>
            <w:pPr>
              <w:jc w:val="center"/>
            </w:pPr>
            <w:r/>
            <w:r>
              <w:rPr>
                <w:rFonts w:ascii="Times New Roman" w:hAnsi="Times New Roman" w:eastAsia="宋体"/>
                <w:sz w:val="20"/>
              </w:rPr>
              <w:t>返回 403 Admin privilege required</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权限控制</w:t>
            </w:r>
          </w:p>
        </w:tc>
        <w:tc>
          <w:tcPr>
            <w:tcW w:type="dxa" w:w="2351"/>
            <w:vAlign w:val="center"/>
          </w:tcPr>
          <w:p>
            <w:pPr>
              <w:jc w:val="center"/>
            </w:pPr>
            <w:r/>
            <w:r>
              <w:rPr>
                <w:rFonts w:ascii="Times New Roman" w:hAnsi="Times New Roman" w:eastAsia="宋体"/>
                <w:sz w:val="20"/>
              </w:rPr>
              <w:t>用户 A 的 JWT 解锁用户 B 设备</w:t>
            </w:r>
          </w:p>
        </w:tc>
        <w:tc>
          <w:tcPr>
            <w:tcW w:type="dxa" w:w="2351"/>
            <w:vAlign w:val="center"/>
          </w:tcPr>
          <w:p>
            <w:pPr>
              <w:jc w:val="center"/>
            </w:pPr>
            <w:r/>
            <w:r>
              <w:rPr>
                <w:rFonts w:ascii="Times New Roman" w:hAnsi="Times New Roman" w:eastAsia="宋体"/>
                <w:sz w:val="20"/>
              </w:rPr>
              <w:t>拒绝（跨用户凭证不匹配）</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权限控制</w:t>
            </w:r>
          </w:p>
        </w:tc>
        <w:tc>
          <w:tcPr>
            <w:tcW w:type="dxa" w:w="2351"/>
            <w:vAlign w:val="center"/>
          </w:tcPr>
          <w:p>
            <w:pPr>
              <w:jc w:val="center"/>
            </w:pPr>
            <w:r/>
            <w:r>
              <w:rPr>
                <w:rFonts w:ascii="Times New Roman" w:hAnsi="Times New Roman" w:eastAsia="宋体"/>
                <w:sz w:val="20"/>
              </w:rPr>
              <w:t>无 JWT 访问受保护接口</w:t>
            </w:r>
          </w:p>
        </w:tc>
        <w:tc>
          <w:tcPr>
            <w:tcW w:type="dxa" w:w="2351"/>
            <w:vAlign w:val="center"/>
          </w:tcPr>
          <w:p>
            <w:pPr>
              <w:jc w:val="center"/>
            </w:pPr>
            <w:r/>
            <w:r>
              <w:rPr>
                <w:rFonts w:ascii="Times New Roman" w:hAnsi="Times New Roman" w:eastAsia="宋体"/>
                <w:sz w:val="20"/>
              </w:rPr>
              <w:t>返回 401 Missing Authorization</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访客码安全</w:t>
            </w:r>
          </w:p>
        </w:tc>
        <w:tc>
          <w:tcPr>
            <w:tcW w:type="dxa" w:w="2351"/>
            <w:vAlign w:val="center"/>
          </w:tcPr>
          <w:p>
            <w:pPr>
              <w:jc w:val="center"/>
            </w:pPr>
            <w:r/>
            <w:r>
              <w:rPr>
                <w:rFonts w:ascii="Times New Roman" w:hAnsi="Times New Roman" w:eastAsia="宋体"/>
                <w:sz w:val="20"/>
              </w:rPr>
              <w:t>数据库存储形式检查</w:t>
            </w:r>
          </w:p>
        </w:tc>
        <w:tc>
          <w:tcPr>
            <w:tcW w:type="dxa" w:w="2351"/>
            <w:vAlign w:val="center"/>
          </w:tcPr>
          <w:p>
            <w:pPr>
              <w:jc w:val="center"/>
            </w:pPr>
            <w:r/>
            <w:r>
              <w:rPr>
                <w:rFonts w:ascii="Times New Roman" w:hAnsi="Times New Roman" w:eastAsia="宋体"/>
                <w:sz w:val="20"/>
              </w:rPr>
              <w:t>只存 SHA-256 哈希</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访客码安全</w:t>
            </w:r>
          </w:p>
        </w:tc>
        <w:tc>
          <w:tcPr>
            <w:tcW w:type="dxa" w:w="2351"/>
            <w:vAlign w:val="center"/>
          </w:tcPr>
          <w:p>
            <w:pPr>
              <w:jc w:val="center"/>
            </w:pPr>
            <w:r/>
            <w:r>
              <w:rPr>
                <w:rFonts w:ascii="Times New Roman" w:hAnsi="Times New Roman" w:eastAsia="宋体"/>
                <w:sz w:val="20"/>
              </w:rPr>
              <w:t>max_uses=1 用尽后再次核销</w:t>
            </w:r>
          </w:p>
        </w:tc>
        <w:tc>
          <w:tcPr>
            <w:tcW w:type="dxa" w:w="2351"/>
            <w:vAlign w:val="center"/>
          </w:tcPr>
          <w:p>
            <w:pPr>
              <w:jc w:val="center"/>
            </w:pPr>
            <w:r/>
            <w:r>
              <w:rPr>
                <w:rFonts w:ascii="Times New Roman" w:hAnsi="Times New Roman" w:eastAsia="宋体"/>
                <w:sz w:val="20"/>
              </w:rPr>
              <w:t>返回 401 usage limit reached</w:t>
            </w:r>
          </w:p>
        </w:tc>
        <w:tc>
          <w:tcPr>
            <w:tcW w:type="dxa" w:w="2351"/>
            <w:vAlign w:val="center"/>
          </w:tcPr>
          <w:p>
            <w:pPr>
              <w:jc w:val="center"/>
            </w:pPr>
            <w:r/>
            <w:r>
              <w:rPr>
                <w:rFonts w:ascii="Times New Roman" w:hAnsi="Times New Roman" w:eastAsia="宋体"/>
                <w:sz w:val="20"/>
              </w:rPr>
              <w:t>✅ 通过</w:t>
            </w:r>
          </w:p>
        </w:tc>
      </w:tr>
      <w:tr>
        <w:tc>
          <w:tcPr>
            <w:tcW w:type="dxa" w:w="2351"/>
            <w:vAlign w:val="center"/>
          </w:tcPr>
          <w:p>
            <w:pPr>
              <w:jc w:val="center"/>
            </w:pPr>
            <w:r/>
            <w:r>
              <w:rPr>
                <w:rFonts w:ascii="Times New Roman" w:hAnsi="Times New Roman" w:eastAsia="宋体"/>
                <w:sz w:val="20"/>
              </w:rPr>
              <w:t>访客码安全</w:t>
            </w:r>
          </w:p>
        </w:tc>
        <w:tc>
          <w:tcPr>
            <w:tcW w:type="dxa" w:w="2351"/>
            <w:vAlign w:val="center"/>
          </w:tcPr>
          <w:p>
            <w:pPr>
              <w:jc w:val="center"/>
            </w:pPr>
            <w:r/>
            <w:r>
              <w:rPr>
                <w:rFonts w:ascii="Times New Roman" w:hAnsi="Times New Roman" w:eastAsia="宋体"/>
                <w:sz w:val="20"/>
              </w:rPr>
              <w:t>修改数据库时间后核销</w:t>
            </w:r>
          </w:p>
        </w:tc>
        <w:tc>
          <w:tcPr>
            <w:tcW w:type="dxa" w:w="2351"/>
            <w:vAlign w:val="center"/>
          </w:tcPr>
          <w:p>
            <w:pPr>
              <w:jc w:val="center"/>
            </w:pPr>
            <w:r/>
            <w:r>
              <w:rPr>
                <w:rFonts w:ascii="Times New Roman" w:hAnsi="Times New Roman" w:eastAsia="宋体"/>
                <w:sz w:val="20"/>
              </w:rPr>
              <w:t>返回 401 expired</w:t>
            </w:r>
          </w:p>
        </w:tc>
        <w:tc>
          <w:tcPr>
            <w:tcW w:type="dxa" w:w="2351"/>
            <w:vAlign w:val="center"/>
          </w:tcPr>
          <w:p>
            <w:pPr>
              <w:jc w:val="center"/>
            </w:pPr>
            <w:r/>
            <w:r>
              <w:rPr>
                <w:rFonts w:ascii="Times New Roman" w:hAnsi="Times New Roman" w:eastAsia="宋体"/>
                <w:sz w:val="20"/>
              </w:rPr>
              <w:t>✅ 通过</w:t>
            </w:r>
          </w:p>
        </w:tc>
      </w:tr>
    </w:tbl>
    <w:p/>
    <w:p>
      <w:pPr>
        <w:spacing w:before="240" w:after="120"/>
      </w:pPr>
      <w:r>
        <w:rPr>
          <w:rFonts w:ascii="Times New Roman" w:hAnsi="Times New Roman" w:eastAsia="宋体"/>
          <w:b/>
          <w:sz w:val="28"/>
        </w:rPr>
        <w:t>5.3 关键机制说明</w:t>
      </w:r>
    </w:p>
    <w:p>
      <w:pPr>
        <w:spacing w:line="360" w:lineRule="auto"/>
        <w:ind w:firstLine="420"/>
      </w:pPr>
      <w:r>
        <w:rPr>
          <w:rFonts w:ascii="Times New Roman" w:hAnsi="Times New Roman" w:eastAsia="宋体"/>
          <w:b w:val="0"/>
          <w:sz w:val="22"/>
        </w:rPr>
        <w:t>防暴力破解机制通过 MFACredential 表的 failed_attempts 与 is_locked 字段实现：每次人脸或 TOTP 验证失败调用 _record_auth_failure() 累加计数，达到 5 次后自动设置锁定标志，open_door_request 接口在入口处拦截返回 423，并写入 AccessLog 追溯审计。成功认证会调用 _reset_auth_failures() 归零计数。【图 5-1】展示了防暴力破解的状态机流程图。</w:t>
      </w:r>
    </w:p>
    <w:p>
      <w:pPr>
        <w:jc w:val="center"/>
      </w:pPr>
      <w:r>
        <w:rPr>
          <w:rFonts w:ascii="Times New Roman" w:hAnsi="Times New Roman" w:eastAsia="宋体"/>
          <w:b/>
          <w:color w:val="C0504D"/>
          <w:sz w:val="20"/>
        </w:rPr>
        <w:t>【图 5-1】防暴力破解状态机流程图</w:t>
      </w:r>
    </w:p>
    <w:p>
      <w:pPr>
        <w:spacing w:line="360" w:lineRule="auto"/>
        <w:ind w:firstLine="420"/>
      </w:pPr>
      <w:r>
        <w:rPr>
          <w:rFonts w:ascii="Times New Roman" w:hAnsi="Times New Roman" w:eastAsia="宋体"/>
          <w:b w:val="0"/>
          <w:sz w:val="22"/>
        </w:rPr>
        <w:t>SPAKE2 握手采用平衡口令认证的密钥交换协议，握手成功后双方获得同一 session_key，业务数据以 AES-CBC 加密并附加 HMAC-SHA256 完整性校验。协议头部包含 version、request_id、timestamp、nonce 五个字段，服务端在解密前依次校验版本、时效性、重放窗口和签名，任一失败立刻拒绝。【图 5-2】展示了 SPAKE2 完整交互序列图。</w:t>
      </w:r>
    </w:p>
    <w:p>
      <w:pPr>
        <w:jc w:val="center"/>
      </w:pPr>
      <w:r>
        <w:rPr>
          <w:rFonts w:ascii="Times New Roman" w:hAnsi="Times New Roman" w:eastAsia="宋体"/>
          <w:b/>
          <w:color w:val="C0504D"/>
          <w:sz w:val="20"/>
        </w:rPr>
        <w:t>【图 5-2】SPAKE2 握手完整交互序列图</w:t>
      </w:r>
    </w:p>
    <w:p>
      <w:pPr>
        <w:spacing w:line="360" w:lineRule="auto"/>
        <w:ind w:firstLine="420"/>
      </w:pPr>
      <w:r>
        <w:rPr>
          <w:rFonts w:ascii="Times New Roman" w:hAnsi="Times New Roman" w:eastAsia="宋体"/>
          <w:b w:val="0"/>
          <w:sz w:val="22"/>
        </w:rPr>
        <w:t>基于角色的访问控制（RBAC）通过 User.role 字段区分 admin 与 user，敏感接口通过 admin_required 装饰器统一鉴权。用户注册后处于 pending 状态，必须由管理员审批置为 approved 才能登录，形成了一道注册准入门槛。</w:t>
      </w:r>
    </w:p>
    <w:p>
      <w:pPr>
        <w:spacing w:line="360" w:lineRule="auto"/>
        <w:ind w:firstLine="420"/>
      </w:pPr>
      <w:r>
        <w:rPr>
          <w:rFonts w:ascii="Times New Roman" w:hAnsi="Times New Roman" w:eastAsia="宋体"/>
          <w:b w:val="0"/>
          <w:sz w:val="22"/>
        </w:rPr>
        <w:t>访客码采用一次性生成 + 哈希存储的设计：secrets.token_urlsafe(16) 生成 128 位随机口令，明文只在创建时返回一次，数据库仅存 SHA-256 哈希。有效期与使用次数均在数据库字段中约束，核销时服务端原子性地扣减 used_count，避免超额使用。</w:t>
      </w:r>
    </w:p>
    <w:p>
      <w:pPr>
        <w:spacing w:before="240" w:after="120"/>
      </w:pPr>
      <w:r>
        <w:rPr>
          <w:rFonts w:ascii="Times New Roman" w:hAnsi="Times New Roman" w:eastAsia="宋体"/>
          <w:b/>
          <w:sz w:val="28"/>
        </w:rPr>
        <w:t>5.4 结果分析</w:t>
      </w:r>
    </w:p>
    <w:p>
      <w:pPr>
        <w:spacing w:line="360" w:lineRule="auto"/>
        <w:ind w:firstLine="420"/>
      </w:pPr>
      <w:r>
        <w:rPr>
          <w:rFonts w:ascii="Times New Roman" w:hAnsi="Times New Roman" w:eastAsia="宋体"/>
          <w:b w:val="0"/>
          <w:sz w:val="22"/>
        </w:rPr>
        <w:t>系统在四个维度的安全测试中全部通过预期。特别值得说明的是防暴力破解与 SPAKE2 握手的组合防护：前者防止在线穷举 TOTP，后者防止中间人窃听或篡改设备端上报的人脸识别结果。两者叠加后，攻击者既无法通过重放旧的开门请求绕过认证，也无法通过反复试错寻找有效凭证。</w:t>
      </w:r>
    </w:p>
    <w:p>
      <w:pPr>
        <w:spacing w:line="360" w:lineRule="auto"/>
        <w:ind w:firstLine="420"/>
      </w:pPr>
      <w:r>
        <w:rPr>
          <w:rFonts w:ascii="Times New Roman" w:hAnsi="Times New Roman" w:eastAsia="宋体"/>
          <w:b w:val="0"/>
          <w:sz w:val="22"/>
        </w:rPr>
        <w:t>管理员审批流程的引入进一步降低了账户滥用风险 —— 即便攻击者通过某种方式获得注册接口调用能力，未经审批的账号也无法登录使用。这个设计在家用场景下等效于“户主对陌生访问者的准入控制”，符合物理门锁的授权语义。</w:t>
      </w:r>
    </w:p>
    <w:p>
      <w:pPr>
        <w:spacing w:before="240" w:after="120"/>
      </w:pPr>
      <w:r>
        <w:rPr>
          <w:rFonts w:ascii="Times New Roman" w:hAnsi="Times New Roman" w:eastAsia="宋体"/>
          <w:b/>
          <w:sz w:val="32"/>
        </w:rPr>
        <w:t>六、测试总结</w:t>
      </w:r>
    </w:p>
    <w:p>
      <w:pPr>
        <w:spacing w:line="360" w:lineRule="auto"/>
        <w:ind w:firstLine="420"/>
      </w:pPr>
      <w:r>
        <w:rPr>
          <w:rFonts w:ascii="Times New Roman" w:hAnsi="Times New Roman" w:eastAsia="宋体"/>
          <w:b w:val="0"/>
          <w:sz w:val="22"/>
        </w:rPr>
        <w:t>综合四类测试，本项目在功能可用性、性能表现、识别准确性、安全防护四个维度均达到设计目标：</w:t>
      </w:r>
    </w:p>
    <w:p>
      <w:pPr>
        <w:spacing w:line="360" w:lineRule="auto"/>
        <w:ind w:firstLine="420"/>
      </w:pPr>
      <w:r>
        <w:rPr>
          <w:rFonts w:ascii="Times New Roman" w:hAnsi="Times New Roman" w:eastAsia="宋体"/>
          <w:b w:val="0"/>
          <w:sz w:val="22"/>
        </w:rPr>
        <w:t>接口层面：50 并发以内响应稳定（P95 &lt; 160 ms），100 并发时无请求失败，识别出登录（bcrypt）和 SQLite 写锁两个可优化点。</w:t>
      </w:r>
    </w:p>
    <w:p>
      <w:pPr>
        <w:spacing w:line="360" w:lineRule="auto"/>
        <w:ind w:firstLine="420"/>
      </w:pPr>
      <w:r>
        <w:rPr>
          <w:rFonts w:ascii="Times New Roman" w:hAnsi="Times New Roman" w:eastAsia="宋体"/>
          <w:b w:val="0"/>
          <w:sz w:val="22"/>
        </w:rPr>
        <w:t>端到端时延：完整开门流程 P95 约 670 ms，通过 JWT 缓存可进一步压缩至 200 ms 以内。</w:t>
      </w:r>
    </w:p>
    <w:p>
      <w:pPr>
        <w:spacing w:line="360" w:lineRule="auto"/>
        <w:ind w:firstLine="420"/>
      </w:pPr>
      <w:r>
        <w:rPr>
          <w:rFonts w:ascii="Times New Roman" w:hAnsi="Times New Roman" w:eastAsia="宋体"/>
          <w:b w:val="0"/>
          <w:sz w:val="22"/>
        </w:rPr>
        <w:t>人脸识别：AUC 达 0.97，选定阈值下 TAR 93.3%、FAR 0%。</w:t>
      </w:r>
    </w:p>
    <w:p>
      <w:pPr>
        <w:spacing w:line="360" w:lineRule="auto"/>
        <w:ind w:firstLine="420"/>
      </w:pPr>
      <w:r>
        <w:rPr>
          <w:rFonts w:ascii="Times New Roman" w:hAnsi="Times New Roman" w:eastAsia="宋体"/>
          <w:b w:val="0"/>
          <w:sz w:val="22"/>
        </w:rPr>
        <w:t>安全性：多因子认证、防暴力破解、SPAKE2 加密握手、RBAC 与访客码哈希存储四大机制全部生效。</w:t>
      </w:r>
    </w:p>
    <w:p>
      <w:pPr>
        <w:spacing w:line="360" w:lineRule="auto"/>
        <w:ind w:firstLine="420"/>
      </w:pPr>
      <w:r>
        <w:rPr>
          <w:rFonts w:ascii="Times New Roman" w:hAnsi="Times New Roman" w:eastAsia="宋体"/>
          <w:b w:val="0"/>
          <w:sz w:val="22"/>
        </w:rPr>
        <w:t>测试过程中暴露的问题（SQLite 写锁、大角度侧脸误拒）均已给出明确的优化方向，可作为后续迭代的技术债清单。</w:t>
      </w:r>
    </w:p>
    <w:p>
      <w:pPr>
        <w:spacing w:before="240" w:after="120"/>
      </w:pPr>
      <w:r>
        <w:rPr>
          <w:rFonts w:ascii="Times New Roman" w:hAnsi="Times New Roman" w:eastAsia="宋体"/>
          <w:b/>
          <w:sz w:val="32"/>
        </w:rPr>
        <w:t>附录：AI 生图提示词</w:t>
      </w:r>
    </w:p>
    <w:p>
      <w:pPr>
        <w:spacing w:line="360" w:lineRule="auto"/>
        <w:ind w:firstLine="0"/>
      </w:pPr>
      <w:r>
        <w:rPr>
          <w:rFonts w:ascii="Times New Roman" w:hAnsi="Times New Roman" w:eastAsia="宋体"/>
          <w:b/>
          <w:sz w:val="22"/>
        </w:rPr>
        <w:t>以下提示词可交给 GPT-image / 通义万相 / 即梦等文生图工具生成对应插图。</w:t>
      </w:r>
    </w:p>
    <w:p>
      <w:pPr>
        <w:spacing w:before="120"/>
      </w:pPr>
      <w:r>
        <w:rPr>
          <w:rFonts w:ascii="Times New Roman" w:hAnsi="Times New Roman" w:eastAsia="宋体"/>
          <w:b/>
          <w:sz w:val="22"/>
        </w:rPr>
        <w:t>【图 2-1】P95 响应时间与 QPS 随并发变化曲线</w:t>
      </w:r>
    </w:p>
    <w:p>
      <w:pPr>
        <w:spacing w:line="360" w:lineRule="auto"/>
        <w:ind w:firstLine="420"/>
      </w:pPr>
      <w:r>
        <w:rPr>
          <w:rFonts w:ascii="Times New Roman" w:hAnsi="Times New Roman" w:eastAsia="宋体"/>
          <w:sz w:val="20"/>
        </w:rPr>
        <w:t>由脚本 aggregate_results.py --plot 自动生成，无需 AI。</w:t>
      </w:r>
    </w:p>
    <w:p>
      <w:pPr>
        <w:spacing w:before="120"/>
      </w:pPr>
      <w:r>
        <w:rPr>
          <w:rFonts w:ascii="Times New Roman" w:hAnsi="Times New Roman" w:eastAsia="宋体"/>
          <w:b/>
          <w:sz w:val="22"/>
        </w:rPr>
        <w:t>【图 2-2】Locust HTML 报告截图</w:t>
      </w:r>
    </w:p>
    <w:p>
      <w:pPr>
        <w:spacing w:line="360" w:lineRule="auto"/>
        <w:ind w:firstLine="420"/>
      </w:pPr>
      <w:r>
        <w:rPr>
          <w:rFonts w:ascii="Times New Roman" w:hAnsi="Times New Roman" w:eastAsia="宋体"/>
          <w:sz w:val="20"/>
        </w:rPr>
        <w:t>直接截图 results/c100.html，无需 AI。</w:t>
      </w:r>
    </w:p>
    <w:p>
      <w:pPr>
        <w:spacing w:before="120"/>
      </w:pPr>
      <w:r>
        <w:rPr>
          <w:rFonts w:ascii="Times New Roman" w:hAnsi="Times New Roman" w:eastAsia="宋体"/>
          <w:b/>
          <w:sz w:val="22"/>
        </w:rPr>
        <w:t>【图 3-1】端到端阶段耗时堆叠柱状图</w:t>
      </w:r>
    </w:p>
    <w:p>
      <w:pPr>
        <w:spacing w:line="360" w:lineRule="auto"/>
        <w:ind w:firstLine="420"/>
      </w:pPr>
      <w:r>
        <w:rPr>
          <w:rFonts w:ascii="Times New Roman" w:hAnsi="Times New Roman" w:eastAsia="宋体"/>
          <w:sz w:val="20"/>
        </w:rPr>
        <w:t>绘制一张学术论文风格的堆叠柱状图，横轴为运行序号 1 到 30，纵轴为耗时（毫秒），范围 0 到 800。每根柱子从下到上依次堆叠五个阶段：login（深蓝色，约 380 毫秒）、open_request（橙色，约 42 毫秒）、face_result（绿色，约 28 毫秒）、confirm（紫色，约 52 毫秒）、token_verify（红色，约 57 毫秒）。图例位于右上角，标题为“端到端各阶段耗时明细”。整体风格简洁，白色背景，网格线浅灰色。</w:t>
      </w:r>
    </w:p>
    <w:p>
      <w:pPr>
        <w:spacing w:before="120"/>
      </w:pPr>
      <w:r>
        <w:rPr>
          <w:rFonts w:ascii="Times New Roman" w:hAnsi="Times New Roman" w:eastAsia="宋体"/>
          <w:b/>
          <w:sz w:val="22"/>
        </w:rPr>
        <w:t>【图 3-2】端到端总耗时分布直方图</w:t>
      </w:r>
    </w:p>
    <w:p>
      <w:pPr>
        <w:spacing w:line="360" w:lineRule="auto"/>
        <w:ind w:firstLine="420"/>
      </w:pPr>
      <w:r>
        <w:rPr>
          <w:rFonts w:ascii="Times New Roman" w:hAnsi="Times New Roman" w:eastAsia="宋体"/>
          <w:sz w:val="20"/>
        </w:rPr>
        <w:t>绘制一张学术直方图，横轴为总耗时（毫秒），范围 480 到 720，分箱宽度 20 毫秒。纵轴为频次。柱子为蓝色带黑色边框，接近正态分布形状，峰值出现在 560 毫秒附近。在图上叠加两条垂直虚线：绿色虚线标注“均值 564.9 ms”，红色虚线标注“P95 672.5 ms”。标题为“端到端总耗时分布”，白色背景，简洁学术风格。</w:t>
      </w:r>
    </w:p>
    <w:p>
      <w:pPr>
        <w:spacing w:before="120"/>
      </w:pPr>
      <w:r>
        <w:rPr>
          <w:rFonts w:ascii="Times New Roman" w:hAnsi="Times New Roman" w:eastAsia="宋体"/>
          <w:b/>
          <w:sz w:val="22"/>
        </w:rPr>
        <w:t>【图 4-1】ROC 曲线</w:t>
      </w:r>
    </w:p>
    <w:p>
      <w:pPr>
        <w:spacing w:line="360" w:lineRule="auto"/>
        <w:ind w:firstLine="420"/>
      </w:pPr>
      <w:r>
        <w:rPr>
          <w:rFonts w:ascii="Times New Roman" w:hAnsi="Times New Roman" w:eastAsia="宋体"/>
          <w:sz w:val="20"/>
        </w:rPr>
        <w:t>绘制一张学术论文风格的 ROC 曲线图。横轴为 False Accept Rate (FAR)，范围 0 到 1；纵轴为 True Accept Rate (TAR)，范围 0 到 1。曲线为蓝色实线，从左下角 (0,0) 快速上升到接近 (0, 0.93)，然后缓慢延伸到右上角 (1, 1)，形状呈现典型的高性能识别系统曲线。曲线下面积 AUC 约为 0.97，在图内右下角标注“AUC = 0.97”。图上标记一个红色圆点，位置约在 (0, 0.933)，旁边标注“工作阈值 = 0.65”。再标一个黑色菱形，位置在 EER 点（约 0.05, 0.95）附近，旁边标注“EER”。左下到右上有一条灰色虚线代表随机猜测基准。标题为“人脸识别 ROC 曲线”，白色背景。</w:t>
      </w:r>
    </w:p>
    <w:p>
      <w:pPr>
        <w:spacing w:before="120"/>
      </w:pPr>
      <w:r>
        <w:rPr>
          <w:rFonts w:ascii="Times New Roman" w:hAnsi="Times New Roman" w:eastAsia="宋体"/>
          <w:b/>
          <w:sz w:val="22"/>
        </w:rPr>
        <w:t>【图 4-2】相似度分数分布直方图</w:t>
      </w:r>
    </w:p>
    <w:p>
      <w:pPr>
        <w:spacing w:line="360" w:lineRule="auto"/>
        <w:ind w:firstLine="420"/>
      </w:pPr>
      <w:r>
        <w:rPr>
          <w:rFonts w:ascii="Times New Roman" w:hAnsi="Times New Roman" w:eastAsia="宋体"/>
          <w:sz w:val="20"/>
        </w:rPr>
        <w:t>绘制一张双分布叠加直方图。横轴为余弦相似度分数，范围 0.2 到 1.0，分箱宽度 0.05。纵轴为频次。绘制两组半透明柱子：蓝色代表正样本（本人人脸），分布集中在 0.75 到 0.95 之间，共 30 个样本；红色代表负样本（他人人脸），分布集中在 0.30 到 0.55 之间，共 30 个样本。两个分布之间几乎不重叠。在 x=0.65 处画一条黑色垂直虚线，上方标注“判定阈值 0.65”。图例位于右上角，标题为“正负样本相似度分布”，白色背景，学术论文风格。</w:t>
      </w:r>
    </w:p>
    <w:p>
      <w:pPr>
        <w:spacing w:before="120"/>
      </w:pPr>
      <w:r>
        <w:rPr>
          <w:rFonts w:ascii="Times New Roman" w:hAnsi="Times New Roman" w:eastAsia="宋体"/>
          <w:b/>
          <w:sz w:val="22"/>
        </w:rPr>
        <w:t>【图 5-1】防暴力破解状态机流程图</w:t>
      </w:r>
    </w:p>
    <w:p>
      <w:pPr>
        <w:spacing w:line="360" w:lineRule="auto"/>
        <w:ind w:firstLine="420"/>
      </w:pPr>
      <w:r>
        <w:rPr>
          <w:rFonts w:ascii="Times New Roman" w:hAnsi="Times New Roman" w:eastAsia="宋体"/>
          <w:sz w:val="20"/>
        </w:rPr>
        <w:t>绘制一张状态机流程图，展示智能锁设备防暴力破解机制。三个主要节点用圆角矩形表示：左侧绿色节点“正常状态 (failed_attempts=0)”，中间黄色节点“预警状态 (failed_attempts=1~4)”，右侧红色节点“锁定状态 (is_locked=true)”。箭头连接：正常态→预警态标注“认证失败 +1”；预警态→预警态自环标注“继续失败”；预警态→锁定态标注“达到 5 次”；锁定态→正常态标注“管理员调用 /admin/device/unlock”；预警态→正常态标注“认证成功，计数归零”。风格简洁清晰，白色背景，仿 UML 风格。</w:t>
      </w:r>
    </w:p>
    <w:p>
      <w:pPr>
        <w:spacing w:before="120"/>
      </w:pPr>
      <w:r>
        <w:rPr>
          <w:rFonts w:ascii="Times New Roman" w:hAnsi="Times New Roman" w:eastAsia="宋体"/>
          <w:b/>
          <w:sz w:val="22"/>
        </w:rPr>
        <w:t>【图 5-2】SPAKE2 握手序列图</w:t>
      </w:r>
    </w:p>
    <w:p>
      <w:pPr>
        <w:spacing w:line="360" w:lineRule="auto"/>
        <w:ind w:firstLine="420"/>
      </w:pPr>
      <w:r>
        <w:rPr>
          <w:rFonts w:ascii="Times New Roman" w:hAnsi="Times New Roman" w:eastAsia="宋体"/>
          <w:sz w:val="20"/>
        </w:rPr>
        <w:t>绘制一张 UML 序列图，展示 SPAKE2 安全握手过程。左侧竖线代表“树莓派设备”，右侧竖线代表“后端服务器”。从上到下的箭头交互依次为：1) 设备→服务器：POST /api/security/spake2/start，携带 client_pub、client_nonce、timestamp、request_id；2) 服务器→设备：返回 session_id、server_pub、server_nonce、challenge；3) 双方独立生成同一个 session_key（在两侧用注释框标注“通过 SPAKE2 协议独立推导出相同的 session_key”）；4) 设备→服务器：POST /api/secure/upload，携带 iv、ciphertext、mac；5) 服务器验证 mac 并 AES-CBC 解密。在右下角画一个云图标标注“加密业务数据传输”。风格为学术白底、黑色线条、蓝色箭头，UML 标准风格。</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