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80"/>
        <w:jc w:val="center"/>
      </w:pPr>
      <w:r>
        <w:rPr>
          <w:rFonts w:ascii="Microsoft YaHei" w:hAnsi="Microsoft YaHei" w:eastAsia="Microsoft YaHei"/>
          <w:b/>
          <w:color w:val="1A202C"/>
          <w:sz w:val="37"/>
        </w:rPr>
        <w:t>AI 智能体系统架构与业务技术规范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5"/>
      </w:tblGrid>
      <w:tr>
        <w:tc>
          <w:tcPr>
            <w:tcW w:type="dxa" w:w="10095"/>
            <w:shd w:val="clear" w:color="auto" w:fill="F7FAFC"/>
            <w:tcBorders>
              <w:top w:val="none"/>
              <w:bottom w:val="none"/>
              <w:left w:val="single" w:sz="24" w:space="0" w:color="2b6cb0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25" w:lineRule="auto" w:after="80"/>
            </w:pPr>
            <w:r>
              <w:rPr>
                <w:rFonts w:ascii="Microsoft YaHei" w:hAnsi="Microsoft YaHei" w:eastAsia="Microsoft YaHei"/>
                <w:b/>
                <w:color w:val="4A5568"/>
                <w:sz w:val="22"/>
              </w:rPr>
              <w:t>导读</w:t>
            </w:r>
            <w:r>
              <w:rPr>
                <w:rFonts w:ascii="Microsoft YaHei" w:hAnsi="Microsoft YaHei" w:eastAsia="Microsoft YaHei"/>
                <w:color w:val="4A5568"/>
                <w:sz w:val="22"/>
              </w:rPr>
              <w:t>：本文档为标准 Markdown 演示样例，涵盖 CommonMark 基础排版规范与 GFM（GitHub Flavored Markdown）高阶扩展要素，用于测试并检验 MD2PDF Pro 的出版级排版与渲染成效。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rFonts w:ascii="Microsoft YaHei" w:hAnsi="Microsoft YaHei" w:eastAsia="Microsoft YaHei"/>
          <w:b/>
          <w:color w:val="2B6CB0"/>
          <w:sz w:val="26"/>
        </w:rPr>
        <w:t>目录索引</w:t>
      </w:r>
    </w:p>
    <w:p>
      <w:pPr>
        <w:spacing w:line="288" w:lineRule="auto" w:after="40"/>
        <w:ind w:left="288"/>
      </w:pPr>
      <w:r>
        <w:rPr>
          <w:rFonts w:ascii="Microsoft YaHei" w:hAnsi="Microsoft YaHei" w:eastAsia="Microsoft YaHei"/>
          <w:color w:val="2B6CB0"/>
          <w:sz w:val="21"/>
        </w:rPr>
        <w:t xml:space="preserve">▸ </w:t>
      </w:r>
      <w:r>
        <w:rPr>
          <w:rFonts w:ascii="Microsoft YaHei" w:hAnsi="Microsoft YaHei" w:eastAsia="Microsoft YaHei"/>
          <w:color w:val="2B6CB0"/>
          <w:sz w:val="22"/>
          <w:u w:val="single"/>
        </w:rPr>
        <w:t>AI 智能体系统架构与业务技术规范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B6CB0"/>
          <w:sz w:val="22"/>
          <w:u w:val="single"/>
        </w:rPr>
        <w:t>1. 项目概述与核心目标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B6CB0"/>
          <w:sz w:val="22"/>
          <w:u w:val="single"/>
        </w:rPr>
        <w:t>2. 关键架构设计 (Mermaid 矢量图表)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B6CB0"/>
          <w:sz w:val="22"/>
          <w:u w:val="single"/>
        </w:rPr>
        <w:t>3. 核心算法与理论推导 (LaTeX 数学公式)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B6CB0"/>
          <w:sz w:val="22"/>
          <w:u w:val="single"/>
        </w:rPr>
        <w:t>4. 模块支持与交付计划 (GFM 表格与任务清单)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B6CB0"/>
          <w:sz w:val="22"/>
          <w:u w:val="single"/>
        </w:rPr>
        <w:t>4.1 核心组件就绪状态表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B6CB0"/>
          <w:sz w:val="22"/>
          <w:u w:val="single"/>
        </w:rPr>
        <w:t>4.2 本阶段工作任务清单 (Task Lists)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B6CB0"/>
          <w:sz w:val="22"/>
          <w:u w:val="single"/>
        </w:rPr>
        <w:t>5. 代码实现范式 (围栏代码块)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D3748"/>
          <w:sz w:val="22"/>
        </w:rPr>
        <w:br/>
      </w:r>
    </w:p>
    <w:p>
      <w:pPr>
        <w:spacing w:line="288" w:lineRule="auto" w:after="40"/>
        <w:ind w:left="288"/>
      </w:pPr>
      <w:r>
        <w:rPr>
          <w:rFonts w:ascii="Microsoft YaHei" w:hAnsi="Microsoft YaHei" w:eastAsia="Microsoft YaHei"/>
          <w:color w:val="2B6CB0"/>
          <w:sz w:val="21"/>
        </w:rPr>
        <w:t xml:space="preserve">▸ </w:t>
      </w:r>
      <w:r>
        <w:rPr>
          <w:rFonts w:ascii="Microsoft YaHei" w:hAnsi="Microsoft YaHei" w:eastAsia="Microsoft YaHei"/>
          <w:color w:val="2B6CB0"/>
          <w:sz w:val="22"/>
          <w:u w:val="single"/>
        </w:rPr>
        <w:t>1. 项目概述与核心目标</w:t>
      </w:r>
    </w:p>
    <w:p>
      <w:pPr>
        <w:spacing w:line="288" w:lineRule="auto" w:after="40"/>
        <w:ind w:left="288"/>
      </w:pPr>
      <w:r>
        <w:rPr>
          <w:rFonts w:ascii="Microsoft YaHei" w:hAnsi="Microsoft YaHei" w:eastAsia="Microsoft YaHei"/>
          <w:color w:val="2B6CB0"/>
          <w:sz w:val="21"/>
        </w:rPr>
        <w:t xml:space="preserve">▸ </w:t>
      </w:r>
      <w:r>
        <w:rPr>
          <w:rFonts w:ascii="Microsoft YaHei" w:hAnsi="Microsoft YaHei" w:eastAsia="Microsoft YaHei"/>
          <w:color w:val="2B6CB0"/>
          <w:sz w:val="22"/>
          <w:u w:val="single"/>
        </w:rPr>
        <w:t>2. 关键架构设计 (Mermaid 矢量图表)</w:t>
      </w:r>
    </w:p>
    <w:p>
      <w:pPr>
        <w:spacing w:line="288" w:lineRule="auto" w:after="40"/>
        <w:ind w:left="288"/>
      </w:pPr>
      <w:r>
        <w:rPr>
          <w:rFonts w:ascii="Microsoft YaHei" w:hAnsi="Microsoft YaHei" w:eastAsia="Microsoft YaHei"/>
          <w:color w:val="2B6CB0"/>
          <w:sz w:val="21"/>
        </w:rPr>
        <w:t xml:space="preserve">▸ </w:t>
      </w:r>
      <w:r>
        <w:rPr>
          <w:rFonts w:ascii="Microsoft YaHei" w:hAnsi="Microsoft YaHei" w:eastAsia="Microsoft YaHei"/>
          <w:color w:val="2B6CB0"/>
          <w:sz w:val="22"/>
          <w:u w:val="single"/>
        </w:rPr>
        <w:t>3. 核心算法与理论推导 (LaTeX 数学公式)</w:t>
      </w:r>
    </w:p>
    <w:p>
      <w:pPr>
        <w:spacing w:line="288" w:lineRule="auto" w:after="40"/>
        <w:ind w:left="288"/>
      </w:pPr>
      <w:r>
        <w:rPr>
          <w:rFonts w:ascii="Microsoft YaHei" w:hAnsi="Microsoft YaHei" w:eastAsia="Microsoft YaHei"/>
          <w:color w:val="2B6CB0"/>
          <w:sz w:val="21"/>
        </w:rPr>
        <w:t xml:space="preserve">▸ </w:t>
      </w:r>
      <w:r>
        <w:rPr>
          <w:rFonts w:ascii="Microsoft YaHei" w:hAnsi="Microsoft YaHei" w:eastAsia="Microsoft YaHei"/>
          <w:color w:val="2B6CB0"/>
          <w:sz w:val="22"/>
          <w:u w:val="single"/>
        </w:rPr>
        <w:t>4. 模块支持与交付计划 (GFM 表格与任务清单)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B6CB0"/>
          <w:sz w:val="22"/>
          <w:u w:val="single"/>
        </w:rPr>
        <w:t>4.1 核心组件就绪状态表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B6CB0"/>
          <w:sz w:val="22"/>
          <w:u w:val="single"/>
        </w:rPr>
        <w:t>4.2 本阶段工作任务清单 (Task Lists)</w:t>
      </w:r>
      <w:r>
        <w:rPr>
          <w:rFonts w:ascii="Microsoft YaHei" w:hAnsi="Microsoft YaHei" w:eastAsia="Microsoft YaHei"/>
          <w:color w:val="2D3748"/>
          <w:sz w:val="22"/>
        </w:rPr>
        <w:br/>
      </w:r>
      <w:r>
        <w:rPr>
          <w:rFonts w:ascii="Microsoft YaHei" w:hAnsi="Microsoft YaHei" w:eastAsia="Microsoft YaHei"/>
          <w:color w:val="2D3748"/>
          <w:sz w:val="22"/>
        </w:rPr>
        <w:br/>
      </w:r>
    </w:p>
    <w:p>
      <w:pPr>
        <w:spacing w:line="288" w:lineRule="auto" w:after="40"/>
        <w:ind w:left="288"/>
      </w:pPr>
      <w:r>
        <w:rPr>
          <w:rFonts w:ascii="Microsoft YaHei" w:hAnsi="Microsoft YaHei" w:eastAsia="Microsoft YaHei"/>
          <w:color w:val="2B6CB0"/>
          <w:sz w:val="21"/>
        </w:rPr>
        <w:t xml:space="preserve">▸ </w:t>
      </w:r>
      <w:r>
        <w:rPr>
          <w:rFonts w:ascii="Microsoft YaHei" w:hAnsi="Microsoft YaHei" w:eastAsia="Microsoft YaHei"/>
          <w:color w:val="2B6CB0"/>
          <w:sz w:val="22"/>
          <w:u w:val="single"/>
        </w:rPr>
        <w:t>4.1 核心组件就绪状态表</w:t>
      </w:r>
    </w:p>
    <w:p>
      <w:pPr>
        <w:spacing w:line="288" w:lineRule="auto" w:after="40"/>
        <w:ind w:left="288"/>
      </w:pPr>
      <w:r>
        <w:rPr>
          <w:rFonts w:ascii="Microsoft YaHei" w:hAnsi="Microsoft YaHei" w:eastAsia="Microsoft YaHei"/>
          <w:color w:val="2B6CB0"/>
          <w:sz w:val="21"/>
        </w:rPr>
        <w:t xml:space="preserve">▸ </w:t>
      </w:r>
      <w:r>
        <w:rPr>
          <w:rFonts w:ascii="Microsoft YaHei" w:hAnsi="Microsoft YaHei" w:eastAsia="Microsoft YaHei"/>
          <w:color w:val="2B6CB0"/>
          <w:sz w:val="22"/>
          <w:u w:val="single"/>
        </w:rPr>
        <w:t>4.2 本阶段工作任务清单 (Task Lists)</w:t>
      </w:r>
    </w:p>
    <w:p>
      <w:pPr>
        <w:spacing w:line="288" w:lineRule="auto" w:after="40"/>
        <w:ind w:left="288"/>
      </w:pPr>
      <w:r>
        <w:rPr>
          <w:rFonts w:ascii="Microsoft YaHei" w:hAnsi="Microsoft YaHei" w:eastAsia="Microsoft YaHei"/>
          <w:color w:val="2B6CB0"/>
          <w:sz w:val="21"/>
        </w:rPr>
        <w:t xml:space="preserve">▸ </w:t>
      </w:r>
      <w:r>
        <w:rPr>
          <w:rFonts w:ascii="Microsoft YaHei" w:hAnsi="Microsoft YaHei" w:eastAsia="Microsoft YaHei"/>
          <w:color w:val="2B6CB0"/>
          <w:sz w:val="22"/>
          <w:u w:val="single"/>
        </w:rPr>
        <w:t>5. 代码实现范式 (围栏代码块)</w:t>
      </w:r>
    </w:p>
    <w:p>
      <w:pPr>
        <w:spacing w:before="160" w:after="240"/>
        <w:jc w:val="center"/>
      </w:pPr>
      <w:r>
        <w:rPr>
          <w:rFonts w:ascii="Arial" w:hAnsi="Arial" w:eastAsia="Arial"/>
          <w:color w:val="E2E8F0"/>
          <w:sz w:val="15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  <w:jc w:val="left"/>
      </w:pPr>
      <w:r>
        <w:rPr>
          <w:rFonts w:ascii="Microsoft YaHei" w:hAnsi="Microsoft YaHei" w:eastAsia="Microsoft YaHei"/>
          <w:b/>
          <w:color w:val="2B6CB0"/>
          <w:sz w:val="30"/>
        </w:rPr>
        <w:t>1. 项目概述与核心目标</w:t>
      </w:r>
    </w:p>
    <w:p>
      <w:pPr>
        <w:spacing w:line="325" w:lineRule="auto" w:after="160"/>
        <w:jc w:val="both"/>
      </w:pPr>
      <w:r>
        <w:rPr>
          <w:rFonts w:ascii="Microsoft YaHei" w:hAnsi="Microsoft YaHei" w:eastAsia="Microsoft YaHei"/>
          <w:color w:val="2D3748"/>
          <w:sz w:val="24"/>
        </w:rPr>
        <w:t>本平台基于自主可控的大模型与智能体协同底座，旨在为企事业单位提供安全、合规、沉浸式的人机协同分析能力。</w:t>
      </w:r>
    </w:p>
    <w:p>
      <w:pPr>
        <w:spacing w:line="325" w:lineRule="auto" w:after="160"/>
        <w:jc w:val="both"/>
      </w:pPr>
      <w:r>
        <w:rPr>
          <w:rFonts w:ascii="Microsoft YaHei" w:hAnsi="Microsoft YaHei" w:eastAsia="Microsoft YaHei"/>
          <w:color w:val="2D3748"/>
          <w:sz w:val="24"/>
        </w:rPr>
        <w:t>系统建设遵循以下三项基本原则：</w:t>
      </w:r>
      <w:r>
        <w:br/>
      </w:r>
      <w:r>
        <w:rPr>
          <w:rFonts w:ascii="Microsoft YaHei" w:hAnsi="Microsoft YaHei" w:eastAsia="Microsoft YaHei"/>
          <w:color w:val="2D3748"/>
          <w:sz w:val="24"/>
        </w:rPr>
        <w:br/>
        <w:t xml:space="preserve">1. </w:t>
      </w:r>
      <w:r>
        <w:rPr>
          <w:rFonts w:ascii="Microsoft YaHei" w:hAnsi="Microsoft YaHei" w:eastAsia="Microsoft YaHei"/>
          <w:b/>
          <w:color w:val="2D3748"/>
          <w:sz w:val="24"/>
        </w:rPr>
        <w:t>数据隐私绝对闭环</w:t>
      </w:r>
      <w:r>
        <w:rPr>
          <w:rFonts w:ascii="Microsoft YaHei" w:hAnsi="Microsoft YaHei" w:eastAsia="Microsoft YaHei"/>
          <w:color w:val="2D3748"/>
          <w:sz w:val="24"/>
        </w:rPr>
        <w:t>：关键计算与敏感报告排版全流程离线，杜绝公网泄密；</w:t>
      </w:r>
      <w:r>
        <w:br/>
      </w:r>
      <w:r>
        <w:rPr>
          <w:rFonts w:ascii="Microsoft YaHei" w:hAnsi="Microsoft YaHei" w:eastAsia="Microsoft YaHei"/>
          <w:color w:val="2D3748"/>
          <w:sz w:val="24"/>
        </w:rPr>
        <w:br/>
        <w:t xml:space="preserve">2. </w:t>
      </w:r>
      <w:r>
        <w:rPr>
          <w:rFonts w:ascii="Microsoft YaHei" w:hAnsi="Microsoft YaHei" w:eastAsia="Microsoft YaHei"/>
          <w:b/>
          <w:color w:val="2D3748"/>
          <w:sz w:val="24"/>
        </w:rPr>
        <w:t>多端自适应交付</w:t>
      </w:r>
      <w:r>
        <w:rPr>
          <w:rFonts w:ascii="Microsoft YaHei" w:hAnsi="Microsoft YaHei" w:eastAsia="Microsoft YaHei"/>
          <w:color w:val="2D3748"/>
          <w:sz w:val="24"/>
        </w:rPr>
        <w:t>：一键生成适用于高管汇报、专家评审的标准装订出版物；</w:t>
      </w:r>
      <w:r>
        <w:br/>
      </w:r>
      <w:r>
        <w:rPr>
          <w:rFonts w:ascii="Microsoft YaHei" w:hAnsi="Microsoft YaHei" w:eastAsia="Microsoft YaHei"/>
          <w:color w:val="2D3748"/>
          <w:sz w:val="24"/>
        </w:rPr>
        <w:br/>
        <w:t xml:space="preserve">3. </w:t>
      </w:r>
      <w:r>
        <w:rPr>
          <w:rFonts w:ascii="Microsoft YaHei" w:hAnsi="Microsoft YaHei" w:eastAsia="Microsoft YaHei"/>
          <w:b/>
          <w:color w:val="2D3748"/>
          <w:sz w:val="24"/>
        </w:rPr>
        <w:t>图表与公式原生保真</w:t>
      </w:r>
      <w:r>
        <w:rPr>
          <w:rFonts w:ascii="Microsoft YaHei" w:hAnsi="Microsoft YaHei" w:eastAsia="Microsoft YaHei"/>
          <w:color w:val="2D3748"/>
          <w:sz w:val="24"/>
        </w:rPr>
        <w:t>：完整保留工程架构图与专业数学推导过程。</w:t>
      </w:r>
    </w:p>
    <w:p>
      <w:pPr>
        <w:spacing w:before="160" w:after="240"/>
        <w:jc w:val="center"/>
      </w:pPr>
      <w:r>
        <w:rPr>
          <w:rFonts w:ascii="Arial" w:hAnsi="Arial" w:eastAsia="Arial"/>
          <w:color w:val="E2E8F0"/>
          <w:sz w:val="15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  <w:jc w:val="left"/>
      </w:pPr>
      <w:r>
        <w:rPr>
          <w:rFonts w:ascii="Microsoft YaHei" w:hAnsi="Microsoft YaHei" w:eastAsia="Microsoft YaHei"/>
          <w:b/>
          <w:color w:val="2B6CB0"/>
          <w:sz w:val="30"/>
        </w:rPr>
        <w:t>2. 关键架构设计 (Mermaid 矢量图表)</w:t>
      </w:r>
    </w:p>
    <w:p>
      <w:pPr>
        <w:spacing w:line="325" w:lineRule="auto" w:after="160"/>
        <w:jc w:val="both"/>
      </w:pPr>
      <w:r>
        <w:rPr>
          <w:rFonts w:ascii="Microsoft YaHei" w:hAnsi="Microsoft YaHei" w:eastAsia="Microsoft YaHei"/>
          <w:color w:val="2D3748"/>
          <w:sz w:val="24"/>
        </w:rPr>
        <w:t>平台由用户交互层、编排调度层、执行计算层三部分组成，整体业务链路如下：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21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m_docx_52280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40"/>
        <w:jc w:val="center"/>
      </w:pPr>
      <w:r>
        <w:rPr>
          <w:rFonts w:ascii="Arial" w:hAnsi="Arial" w:eastAsia="Arial"/>
          <w:color w:val="E2E8F0"/>
          <w:sz w:val="15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  <w:jc w:val="left"/>
      </w:pPr>
      <w:r>
        <w:rPr>
          <w:rFonts w:ascii="Microsoft YaHei" w:hAnsi="Microsoft YaHei" w:eastAsia="Microsoft YaHei"/>
          <w:b/>
          <w:color w:val="2B6CB0"/>
          <w:sz w:val="30"/>
        </w:rPr>
        <w:t>3. 核心算法与理论推导 (LaTeX 数学公式)</w:t>
      </w:r>
    </w:p>
    <w:p>
      <w:pPr>
        <w:spacing w:line="325" w:lineRule="auto" w:after="160"/>
        <w:jc w:val="both"/>
      </w:pPr>
      <w:r>
        <w:rPr>
          <w:rFonts w:ascii="Microsoft YaHei" w:hAnsi="Microsoft YaHei" w:eastAsia="Microsoft YaHei"/>
          <w:color w:val="2D3748"/>
          <w:sz w:val="24"/>
        </w:rPr>
        <w:t>智能体置信度评估模型引入加权信息熵衰减机制，基础置信度概率计算如下：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56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kd_docx_52280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5" w:lineRule="auto" w:after="160"/>
        <w:jc w:val="both"/>
      </w:pPr>
      <w:r>
        <w:rPr>
          <w:rFonts w:ascii="Microsoft YaHei" w:hAnsi="Microsoft YaHei" w:eastAsia="Microsoft YaHei"/>
          <w:color w:val="2D3748"/>
          <w:sz w:val="24"/>
        </w:rPr>
        <w:t>对于多模态文档注意力分布特征，采用标准化核函数：</w:t>
      </w:r>
    </w:p>
    <w:p>
      <w:pPr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114800" cy="159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kd_docx_52280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9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5" w:lineRule="auto" w:after="160"/>
        <w:jc w:val="both"/>
      </w:pPr>
      <w:r>
        <w:rPr>
          <w:rFonts w:ascii="Microsoft YaHei" w:hAnsi="Microsoft YaHei" w:eastAsia="Microsoft YaHei"/>
          <w:color w:val="2D3748"/>
          <w:sz w:val="24"/>
        </w:rPr>
        <w:t>在边缘推断场景下，系统的能效比满足经典能量约束方程：</w:t>
      </w:r>
      <w:r>
        <w:rPr>
          <w:rFonts w:ascii="Microsoft YaHei" w:hAnsi="Microsoft YaHei" w:eastAsia="Microsoft YaHei"/>
          <w:color w:val="2D3748"/>
          <w:sz w:val="24"/>
        </w:rPr>
        <w:t>$E \le \kappa \cdot f^2 \cdot V$</w:t>
      </w:r>
      <w:r>
        <w:rPr>
          <w:rFonts w:ascii="Microsoft YaHei" w:hAnsi="Microsoft YaHei" w:eastAsia="Microsoft YaHei"/>
          <w:color w:val="2D3748"/>
          <w:sz w:val="24"/>
        </w:rPr>
        <w:t>。</w:t>
      </w:r>
    </w:p>
    <w:p>
      <w:pPr>
        <w:spacing w:before="160" w:after="240"/>
        <w:jc w:val="center"/>
      </w:pPr>
      <w:r>
        <w:rPr>
          <w:rFonts w:ascii="Arial" w:hAnsi="Arial" w:eastAsia="Arial"/>
          <w:color w:val="E2E8F0"/>
          <w:sz w:val="15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  <w:jc w:val="left"/>
      </w:pPr>
      <w:r>
        <w:rPr>
          <w:rFonts w:ascii="Microsoft YaHei" w:hAnsi="Microsoft YaHei" w:eastAsia="Microsoft YaHei"/>
          <w:b/>
          <w:color w:val="2B6CB0"/>
          <w:sz w:val="30"/>
        </w:rPr>
        <w:t>4. 模块支持与交付计划 (GFM 表格与任务清单)</w:t>
      </w:r>
    </w:p>
    <w:p>
      <w:pPr>
        <w:keepNext/>
        <w:spacing w:before="240" w:after="80"/>
        <w:jc w:val="left"/>
      </w:pPr>
      <w:r>
        <w:rPr>
          <w:rFonts w:ascii="Microsoft YaHei" w:hAnsi="Microsoft YaHei" w:eastAsia="Microsoft YaHei"/>
          <w:b/>
          <w:color w:val="2D3748"/>
          <w:sz w:val="26"/>
        </w:rPr>
        <w:t>4.1 核心组件就绪状态表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9"/>
        <w:gridCol w:w="2019"/>
        <w:gridCol w:w="2019"/>
        <w:gridCol w:w="2019"/>
        <w:gridCol w:w="2019"/>
      </w:tblGrid>
      <w:tr>
        <w:trPr>
          <w:cantSplit/>
          <w:tblHeader/>
        </w:trPr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EBF8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2B6CB0"/>
                <w:sz w:val="22"/>
              </w:rPr>
              <w:t>序号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EBF8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2B6CB0"/>
                <w:sz w:val="22"/>
              </w:rPr>
              <w:t>功能模块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EBF8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2B6CB0"/>
                <w:sz w:val="22"/>
              </w:rPr>
              <w:t>归属层级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EBF8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2B6CB0"/>
                <w:sz w:val="22"/>
              </w:rPr>
              <w:t>部署规格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EBF8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b/>
                <w:color w:val="2B6CB0"/>
                <w:sz w:val="22"/>
              </w:rPr>
              <w:t>交付状态</w:t>
            </w:r>
          </w:p>
        </w:tc>
      </w:tr>
      <w:tr>
        <w:trPr>
          <w:cantSplit/>
        </w:trPr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01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本地 Headless 打印管道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渲染层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深度整合系统自带 Edge / Chrome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🟢 已就绪</w:t>
            </w:r>
          </w:p>
        </w:tc>
      </w:tr>
      <w:tr>
        <w:trPr>
          <w:cantSplit/>
        </w:trPr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02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离线矢量公式引擎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解析层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内置 KaTeX 0.16 全本地字体包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🟢 已就绪</w:t>
            </w:r>
          </w:p>
        </w:tc>
      </w:tr>
      <w:tr>
        <w:trPr>
          <w:cantSplit/>
        </w:trPr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03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架构图离线渲染引擎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解析层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内置 Mermaid 10.9 独立运行库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🟢 已就绪</w:t>
            </w:r>
          </w:p>
        </w:tc>
      </w:tr>
      <w:tr>
        <w:trPr>
          <w:cantSplit/>
        </w:trPr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04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任务复选框与删除线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表现层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印刷级矢量 Checkbox 与划线样式</w:t>
            </w:r>
          </w:p>
        </w:tc>
        <w:tc>
          <w:tcPr>
            <w:tcW w:type="dxa" w:w="201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bottom w:val="single" w:sz="4" w:space="0" w:color="CBD5E0"/>
              <w:left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line="288" w:lineRule="auto" w:before="0" w:after="0"/>
              <w:jc w:val="left"/>
            </w:pPr>
            <w:r>
              <w:rPr>
                <w:rFonts w:ascii="Microsoft YaHei" w:hAnsi="Microsoft YaHei" w:eastAsia="Microsoft YaHei"/>
                <w:color w:val="2D3748"/>
                <w:sz w:val="22"/>
              </w:rPr>
              <w:t>🟢 已就绪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  <w:jc w:val="left"/>
      </w:pPr>
      <w:r>
        <w:rPr>
          <w:rFonts w:ascii="Microsoft YaHei" w:hAnsi="Microsoft YaHei" w:eastAsia="Microsoft YaHei"/>
          <w:b/>
          <w:color w:val="2D3748"/>
          <w:sz w:val="26"/>
        </w:rPr>
        <w:t>4.2 本阶段工作任务清单 (Task Lists)</w:t>
      </w:r>
    </w:p>
    <w:p>
      <w:pPr>
        <w:spacing w:line="325" w:lineRule="auto" w:after="60"/>
        <w:ind w:left="403"/>
      </w:pPr>
      <w:r>
        <w:rPr>
          <w:rFonts w:ascii="Segoe UI Symbol" w:hAnsi="Segoe UI Symbol" w:eastAsia="Segoe UI Symbol"/>
          <w:b/>
          <w:color w:val="2B6CB0"/>
          <w:sz w:val="24"/>
        </w:rPr>
        <w:t xml:space="preserve">☑ </w:t>
      </w:r>
      <w:r>
        <w:rPr>
          <w:rFonts w:ascii="Microsoft YaHei" w:hAnsi="Microsoft YaHei" w:eastAsia="Microsoft YaHei"/>
          <w:color w:val="2D3748"/>
          <w:sz w:val="24"/>
        </w:rPr>
        <w:t xml:space="preserve"> 完成 Python 原生 TkDND 扩展集成，彻底解决拖拽闪退与 Windows 句柄截断问题</w:t>
      </w:r>
    </w:p>
    <w:p>
      <w:pPr>
        <w:spacing w:line="325" w:lineRule="auto" w:after="60"/>
        <w:ind w:left="403"/>
      </w:pPr>
      <w:r>
        <w:rPr>
          <w:rFonts w:ascii="Segoe UI Symbol" w:hAnsi="Segoe UI Symbol" w:eastAsia="Segoe UI Symbol"/>
          <w:b/>
          <w:color w:val="2B6CB0"/>
          <w:sz w:val="24"/>
        </w:rPr>
        <w:t xml:space="preserve">☑ </w:t>
      </w:r>
      <w:r>
        <w:rPr>
          <w:rFonts w:ascii="Microsoft YaHei" w:hAnsi="Microsoft YaHei" w:eastAsia="Microsoft YaHei"/>
          <w:color w:val="2D3748"/>
          <w:sz w:val="24"/>
        </w:rPr>
        <w:t xml:space="preserve"> 重构工作区左侧布局，实现拖拽投放与大文档清单的一体化空间自适应</w:t>
      </w:r>
    </w:p>
    <w:p>
      <w:pPr>
        <w:spacing w:line="325" w:lineRule="auto" w:after="60"/>
        <w:ind w:left="403"/>
      </w:pPr>
      <w:r>
        <w:rPr>
          <w:rFonts w:ascii="Segoe UI Symbol" w:hAnsi="Segoe UI Symbol" w:eastAsia="Segoe UI Symbol"/>
          <w:b/>
          <w:color w:val="2B6CB0"/>
          <w:sz w:val="24"/>
        </w:rPr>
        <w:t xml:space="preserve">☑ </w:t>
      </w:r>
      <w:r>
        <w:rPr>
          <w:rFonts w:ascii="Microsoft YaHei" w:hAnsi="Microsoft YaHei" w:eastAsia="Microsoft YaHei"/>
          <w:color w:val="2D3748"/>
          <w:sz w:val="24"/>
        </w:rPr>
        <w:t xml:space="preserve"> 实现基于高分屏 DPI 的动态像素字体放大算法</w:t>
      </w:r>
    </w:p>
    <w:p>
      <w:pPr>
        <w:spacing w:line="325" w:lineRule="auto" w:after="60"/>
        <w:ind w:left="403"/>
      </w:pPr>
      <w:r>
        <w:rPr>
          <w:rFonts w:ascii="Segoe UI Symbol" w:hAnsi="Segoe UI Symbol" w:eastAsia="Segoe UI Symbol"/>
          <w:b/>
          <w:color w:val="A0AEC0"/>
          <w:sz w:val="24"/>
        </w:rPr>
        <w:t xml:space="preserve">☐ </w:t>
      </w:r>
      <w:r>
        <w:rPr>
          <w:rFonts w:ascii="Microsoft YaHei" w:hAnsi="Microsoft YaHei" w:eastAsia="Microsoft YaHei"/>
          <w:color w:val="2D3748"/>
          <w:sz w:val="24"/>
        </w:rPr>
        <w:t xml:space="preserve"> 持续扩充行业专属排版预设风格（金融投行风、学术论文风）</w:t>
      </w:r>
    </w:p>
    <w:p>
      <w:pPr>
        <w:spacing w:before="160" w:after="240"/>
        <w:jc w:val="center"/>
      </w:pPr>
      <w:r>
        <w:rPr>
          <w:rFonts w:ascii="Arial" w:hAnsi="Arial" w:eastAsia="Arial"/>
          <w:color w:val="E2E8F0"/>
          <w:sz w:val="15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  <w:jc w:val="left"/>
      </w:pPr>
      <w:r>
        <w:rPr>
          <w:rFonts w:ascii="Microsoft YaHei" w:hAnsi="Microsoft YaHei" w:eastAsia="Microsoft YaHei"/>
          <w:b/>
          <w:color w:val="2B6CB0"/>
          <w:sz w:val="30"/>
        </w:rPr>
        <w:t>5. 代码实现范式 (围栏代码块)</w:t>
      </w:r>
    </w:p>
    <w:p>
      <w:pPr>
        <w:spacing w:line="325" w:lineRule="auto" w:after="160"/>
        <w:jc w:val="both"/>
      </w:pPr>
      <w:r>
        <w:rPr>
          <w:rFonts w:ascii="Microsoft YaHei" w:hAnsi="Microsoft YaHei" w:eastAsia="Microsoft YaHei"/>
          <w:color w:val="2D3748"/>
          <w:sz w:val="24"/>
        </w:rPr>
        <w:t>以下代码展示了离线 Chromium 渲染管道的核心调用逻辑：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5"/>
      </w:tblGrid>
      <w:tr>
        <w:tc>
          <w:tcPr>
            <w:tcW w:type="dxa" w:w="1009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24" w:space="0" w:color="2b6cb0"/>
              <w:right w:val="single" w:sz="4" w:space="0" w:color="E2E8F0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>import subprocess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>import os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>def render_to_pdf_headless(html_path: str, output_pdf_path: str) -&gt; None: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"""调用系统自带 Chromium 管道，实现 100% 离线打印输出"""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chrome_path = r"C:\Program Files (x86)\Microsoft\Edge\Application\msedge.exe"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cmd = [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    chrome_path,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    "--headless",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    "--disable-gpu",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    "--no-pdf-header-footer",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    f"--print-to-pdf={output_pdf_path}",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    html_path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]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subprocess.run(cmd, check=True)</w:t>
            </w:r>
          </w:p>
          <w:p>
            <w:pPr>
              <w:spacing w:line="276" w:lineRule="auto" w:before="0" w:after="0"/>
            </w:pPr>
            <w:r>
              <w:rPr>
                <w:rFonts w:ascii="Consolas" w:hAnsi="Consolas" w:eastAsia="Consolas"/>
                <w:color w:val="2D3748"/>
                <w:sz w:val="19"/>
              </w:rPr>
              <w:t xml:space="preserve">    print(f"[SUCCESS] 出版级 PDF 已成功生成至: {output_pdf_path}")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5"/>
      </w:tblGrid>
      <w:tr>
        <w:tc>
          <w:tcPr>
            <w:tcW w:type="dxa" w:w="10095"/>
            <w:shd w:val="clear" w:color="auto" w:fill="F7FAFC"/>
            <w:tcBorders>
              <w:top w:val="none"/>
              <w:bottom w:val="none"/>
              <w:left w:val="single" w:sz="24" w:space="0" w:color="2b6cb0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line="325" w:lineRule="auto" w:after="80"/>
            </w:pPr>
            <w:r>
              <w:rPr>
                <w:rFonts w:ascii="Microsoft YaHei" w:hAnsi="Microsoft YaHei" w:eastAsia="Microsoft YaHei"/>
                <w:b/>
                <w:color w:val="4A5568"/>
                <w:sz w:val="22"/>
              </w:rPr>
              <w:t>提示</w:t>
            </w:r>
            <w:r>
              <w:rPr>
                <w:rFonts w:ascii="Microsoft YaHei" w:hAnsi="Microsoft YaHei" w:eastAsia="Microsoft YaHei"/>
                <w:color w:val="4A5568"/>
                <w:sz w:val="22"/>
              </w:rPr>
              <w:t>：原技术路线曾规划引入轻量级 WebKit 方案，因兼容性限制已废止（</w:t>
            </w:r>
            <w:r>
              <w:rPr>
                <w:rFonts w:ascii="Microsoft YaHei" w:hAnsi="Microsoft YaHei" w:eastAsia="Microsoft YaHei"/>
                <w:strike/>
                <w:color w:val="A0AEC0"/>
                <w:sz w:val="22"/>
              </w:rPr>
              <w:t>原计划预算 ￥120,000</w:t>
            </w:r>
            <w:r>
              <w:rPr>
                <w:rFonts w:ascii="Microsoft YaHei" w:hAnsi="Microsoft YaHei" w:eastAsia="Microsoft YaHei"/>
                <w:color w:val="4A5568"/>
                <w:sz w:val="22"/>
              </w:rPr>
              <w:t xml:space="preserve">，现定案为 </w:t>
            </w:r>
            <w:r>
              <w:rPr>
                <w:rFonts w:ascii="Consolas" w:hAnsi="Consolas" w:eastAsia="Consolas"/>
                <w:color w:val="805AD5"/>
                <w:sz w:val="20"/>
              </w:rPr>
              <w:t xml:space="preserve"> ￥0 </w:t>
            </w:r>
            <w:r>
              <w:rPr>
                <w:rFonts w:ascii="Microsoft YaHei" w:hAnsi="Microsoft YaHei" w:eastAsia="Microsoft YaHei"/>
                <w:color w:val="4A5568"/>
                <w:sz w:val="22"/>
              </w:rPr>
              <w:t xml:space="preserve"> 自主零依赖实现）。详细说明可参见项目技术白皮书</w:t>
            </w:r>
            <w:r>
              <w:rPr>
                <w:rFonts w:ascii="Microsoft YaHei" w:hAnsi="Microsoft YaHei" w:eastAsia="Microsoft YaHei"/>
                <w:color w:val="718096"/>
                <w:sz w:val="18"/>
                <w:vertAlign w:val="superscript"/>
              </w:rPr>
              <w:t>1</w:t>
            </w:r>
            <w:r>
              <w:rPr>
                <w:rFonts w:ascii="Microsoft YaHei" w:hAnsi="Microsoft YaHei" w:eastAsia="Microsoft YaHei"/>
                <w:color w:val="4A5568"/>
                <w:sz w:val="22"/>
              </w:rPr>
              <w:t>。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 w:eastAsia="Arial"/>
          <w:color w:val="CBD5E0"/>
          <w:sz w:val="15"/>
        </w:rPr>
        <w:t>――――――――――――――――――――</w:t>
      </w:r>
    </w:p>
    <w:p>
      <w:pPr>
        <w:spacing w:line="288" w:lineRule="auto" w:after="40"/>
        <w:ind w:left="288"/>
      </w:pPr>
      <w:r>
        <w:rPr>
          <w:rFonts w:ascii="Microsoft YaHei" w:hAnsi="Microsoft YaHei" w:eastAsia="Microsoft YaHei"/>
          <w:color w:val="718096"/>
          <w:sz w:val="20"/>
        </w:rPr>
        <w:br/>
      </w:r>
      <w:r>
        <w:rPr>
          <w:rFonts w:ascii="Microsoft YaHei" w:hAnsi="Microsoft YaHei" w:eastAsia="Microsoft YaHei"/>
          <w:color w:val="718096"/>
          <w:sz w:val="20"/>
        </w:rPr>
        <w:t xml:space="preserve">技术白皮书存档于内网知识库《AI Agent 交付物工程化指南 v2.4》。 </w:t>
      </w:r>
      <w:r>
        <w:rPr>
          <w:rFonts w:ascii="Microsoft YaHei" w:hAnsi="Microsoft YaHei" w:eastAsia="Microsoft YaHei"/>
          <w:color w:val="2B6CB0"/>
          <w:sz w:val="20"/>
          <w:u w:val="single"/>
        </w:rPr>
        <w:t>↩</w:t>
      </w:r>
      <w:r>
        <w:rPr>
          <w:rFonts w:ascii="Microsoft YaHei" w:hAnsi="Microsoft YaHei" w:eastAsia="Microsoft YaHei"/>
          <w:color w:val="718096"/>
          <w:sz w:val="20"/>
        </w:rPr>
        <w:br/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8" w:right="907" w:bottom="1138" w:left="90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18096"/>
        <w:sz w:val="17"/>
      </w:rPr>
      <w:t xml:space="preserve">第 </w:t>
    </w:r>
    <w:r>
      <w:rPr>
        <w:rFonts w:ascii="Microsoft YaHei" w:hAnsi="Microsoft YaHei" w:eastAsia="Microsoft YaHei"/>
        <w:color w:val="718096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hAnsi="Microsoft YaHei" w:eastAsia="Microsoft YaHei"/>
        <w:color w:val="718096"/>
        <w:sz w:val="17"/>
      </w:rPr>
      <w:t xml:space="preserve"> 页 / 共 </w:t>
    </w:r>
    <w:r>
      <w:rPr>
        <w:rFonts w:ascii="Microsoft YaHei" w:hAnsi="Microsoft YaHei" w:eastAsia="Microsoft YaHei"/>
        <w:color w:val="718096"/>
        <w:sz w:val="17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hAnsi="Microsoft YaHei" w:eastAsia="Microsoft YaHei"/>
        <w:color w:val="71809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18096"/>
        <w:sz w:val="17"/>
      </w:rPr>
      <w:t>内部交流材料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