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shd w:val="clear" w:color="auto" w:fill="04400A"/>
      </w:pPr>
      <w:r>
        <w:rPr>
          <w:rFonts w:ascii="Calibri" w:hAnsi="Calibri"/>
          <w:b/>
          <w:color w:val="FFFFFF"/>
          <w:sz w:val="36"/>
        </w:rPr>
        <w:t>BEBANG ENTERPRISE INC.</w:t>
      </w:r>
    </w:p>
    <w:p>
      <w:pPr>
        <w:jc w:val="center"/>
        <w:spacing w:before="0" w:after="0"/>
        <w:shd w:val="clear" w:color="auto" w:fill="F8F0D9"/>
      </w:pPr>
      <w:r>
        <w:rPr>
          <w:rFonts w:ascii="Calibri" w:hAnsi="Calibri"/>
          <w:b/>
          <w:color w:val="1A1A1A"/>
          <w:sz w:val="26"/>
        </w:rPr>
        <w:t>BEI ERP → QuickBooks Online Setup</w:t>
      </w:r>
    </w:p>
    <w:p>
      <w:pPr>
        <w:jc w:val="center"/>
        <w:spacing w:before="0" w:after="0"/>
        <w:shd w:val="clear" w:color="auto" w:fill="E6ECE7"/>
      </w:pPr>
      <w:r>
        <w:rPr>
          <w:rFonts w:ascii="Calibri" w:hAnsi="Calibri"/>
          <w:i/>
          <w:color w:val="1A1A1A"/>
          <w:sz w:val="22"/>
        </w:rPr>
        <w:t>Bridge Consulting Walkthrough Pack</w:t>
      </w:r>
    </w:p>
    <w:p>
      <w:pPr>
        <w:spacing w:before="400" w:after="20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bei_logo.png"/>
                    <pic:cNvPicPr/>
                  </pic:nvPicPr>
                  <pic:blipFill>
                    <a:blip r:embed="rId9"/>
                    <a:stretch>
                      <a:fillRect/>
                    </a:stretch>
                  </pic:blipFill>
                  <pic:spPr>
                    <a:xfrm>
                      <a:off x="0" y="0"/>
                      <a:ext cx="1828800" cy="1828800"/>
                    </a:xfrm>
                    <a:prstGeom prst="rect"/>
                  </pic:spPr>
                </pic:pic>
              </a:graphicData>
            </a:graphic>
          </wp:inline>
        </w:drawing>
      </w:r>
    </w:p>
    <w:p>
      <w:pPr>
        <w:jc w:val="center"/>
        <w:spacing w:before="200" w:after="40"/>
      </w:pPr>
      <w:r>
        <w:rPr>
          <w:rFonts w:ascii="Calibri" w:hAnsi="Calibri"/>
          <w:b/>
          <w:color w:val="04400A"/>
          <w:sz w:val="48"/>
        </w:rPr>
        <w:t>ONE-DOCUMENT WALKTHROUGH</w:t>
      </w:r>
    </w:p>
    <w:p>
      <w:pPr>
        <w:jc w:val="center"/>
        <w:spacing w:before="0" w:after="40"/>
      </w:pPr>
      <w:r>
        <w:rPr>
          <w:rFonts w:ascii="Calibri" w:hAnsi="Calibri"/>
          <w:i/>
          <w:color w:val="666666"/>
          <w:sz w:val="22"/>
        </w:rPr>
        <w:t>Everything Bridge needs to set up QuickBooks Online to mirror BEI's Frappe ERP</w:t>
      </w:r>
    </w:p>
    <w:p>
      <w:pPr>
        <w:jc w:val="center"/>
        <w:spacing w:before="0" w:after="400"/>
      </w:pPr>
      <w:r>
        <w:rPr>
          <w:rFonts w:ascii="Calibri" w:hAnsi="Calibri"/>
          <w:color w:val="666666"/>
          <w:sz w:val="20"/>
        </w:rPr>
        <w:t>13 sections | All Drive links embedded | Step-by-step QBO setup checklist</w:t>
      </w:r>
    </w:p>
    <w:tbl>
      <w:tblPr>
        <w:tblW w:type="auto" w:w="0"/>
        <w:jc w:val="center"/>
        <w:tblLook w:firstColumn="1" w:firstRow="1" w:lastColumn="0" w:lastRow="0" w:noHBand="0" w:noVBand="1" w:val="04A0"/>
      </w:tblPr>
      <w:tblGrid>
        <w:gridCol w:w="2304"/>
        <w:gridCol w:w="7200"/>
      </w:tblGrid>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Audience</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Bridge Consulting (Anna R., Kim C., Flor A., accountant.outsource@bridge-ph.com)</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Author</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Sam Karazi — Chief Executive Officer, Bebang Enterprise Inc.</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Date</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2026-06-05</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Source sprint</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S258 — COA + GL Finalization (PR #770, merged 8b0636f22)</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Important</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Frappe ERP is structurally ready but NOT yet operationally live. Bridge migrates from APEX (current live system) → QBO using the structure defined here as the target.</w:t>
            </w:r>
          </w:p>
        </w:tc>
      </w:tr>
    </w:tbl>
    <w:p>
      <w:pPr>
        <w:spacing w:before="0" w:after="0"/>
      </w:pPr>
      <w:r>
        <w:br w:type="page"/>
      </w:r>
    </w:p>
    <w:p/>
    <w:p>
      <w:r>
        <w:rPr>
          <w:rFonts w:ascii="Calibri" w:hAnsi="Calibri"/>
          <w:b/>
          <w:color w:val="04400A"/>
          <w:sz w:val="26"/>
        </w:rPr>
        <w:t>TABLE OF CONTENTS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20" w:after="20"/>
      </w:pPr>
      <w:r>
        <w:rPr>
          <w:rFonts w:ascii="Calibri" w:hAnsi="Calibri"/>
          <w:b/>
          <w:color w:val="04400A"/>
          <w:sz w:val="22"/>
        </w:rPr>
        <w:t>1.  Read This First</w:t>
      </w:r>
      <w:r>
        <w:rPr>
          <w:rFonts w:ascii="Calibri" w:hAnsi="Calibri"/>
          <w:color w:val="1A1A1A"/>
          <w:sz w:val="20"/>
        </w:rPr>
        <w:t xml:space="preserve">  —  Why this document exists + how to use it</w:t>
      </w:r>
    </w:p>
    <w:p>
      <w:pPr>
        <w:spacing w:before="20" w:after="20"/>
      </w:pPr>
      <w:r>
        <w:rPr>
          <w:rFonts w:ascii="Calibri" w:hAnsi="Calibri"/>
          <w:b/>
          <w:color w:val="04400A"/>
          <w:sz w:val="22"/>
        </w:rPr>
        <w:t>2.  The Company Universe</w:t>
      </w:r>
      <w:r>
        <w:rPr>
          <w:rFonts w:ascii="Calibri" w:hAnsi="Calibri"/>
          <w:color w:val="1A1A1A"/>
          <w:sz w:val="20"/>
        </w:rPr>
        <w:t xml:space="preserve">  —  Why BEI has 58 Frappe Companies + role tagging</w:t>
      </w:r>
    </w:p>
    <w:p>
      <w:pPr>
        <w:spacing w:before="20" w:after="20"/>
      </w:pPr>
      <w:r>
        <w:rPr>
          <w:rFonts w:ascii="Calibri" w:hAnsi="Calibri"/>
          <w:b/>
          <w:color w:val="04400A"/>
          <w:sz w:val="22"/>
        </w:rPr>
        <w:t>3.  The Canonical Chart of Accounts</w:t>
      </w:r>
      <w:r>
        <w:rPr>
          <w:rFonts w:ascii="Calibri" w:hAnsi="Calibri"/>
          <w:color w:val="1A1A1A"/>
          <w:sz w:val="20"/>
        </w:rPr>
        <w:t xml:space="preserve">  —  5-root tree + Butch's 27-account Sales tree + per-Company population</w:t>
      </w:r>
    </w:p>
    <w:p>
      <w:pPr>
        <w:spacing w:before="20" w:after="20"/>
      </w:pPr>
      <w:r>
        <w:rPr>
          <w:rFonts w:ascii="Calibri" w:hAnsi="Calibri"/>
          <w:b/>
          <w:color w:val="04400A"/>
          <w:sz w:val="22"/>
        </w:rPr>
        <w:t>4.  Tax &amp; Regulatory Setup</w:t>
      </w:r>
      <w:r>
        <w:rPr>
          <w:rFonts w:ascii="Calibri" w:hAnsi="Calibri"/>
          <w:color w:val="1A1A1A"/>
          <w:sz w:val="20"/>
        </w:rPr>
        <w:t xml:space="preserve">  —  VAT 12% + EWT + BIR forms + currency + fiscal year</w:t>
      </w:r>
    </w:p>
    <w:p>
      <w:pPr>
        <w:spacing w:before="20" w:after="20"/>
      </w:pPr>
      <w:r>
        <w:rPr>
          <w:rFonts w:ascii="Calibri" w:hAnsi="Calibri"/>
          <w:b/>
          <w:color w:val="04400A"/>
          <w:sz w:val="22"/>
        </w:rPr>
        <w:t>5.  Intercompany Scheme</w:t>
      </w:r>
      <w:r>
        <w:rPr>
          <w:rFonts w:ascii="Calibri" w:hAnsi="Calibri"/>
          <w:color w:val="1A1A1A"/>
          <w:sz w:val="20"/>
        </w:rPr>
        <w:t xml:space="preserve">  —  Fork 1 (BFC) + BKI→store paired SI/PI + S206 labor cost-sharing</w:t>
      </w:r>
    </w:p>
    <w:p>
      <w:pPr>
        <w:spacing w:before="20" w:after="20"/>
      </w:pPr>
      <w:r>
        <w:rPr>
          <w:rFonts w:ascii="Calibri" w:hAnsi="Calibri"/>
          <w:b/>
          <w:color w:val="04400A"/>
          <w:sz w:val="22"/>
        </w:rPr>
        <w:t>6.  APEX → Canonical Translation</w:t>
      </w:r>
      <w:r>
        <w:rPr>
          <w:rFonts w:ascii="Calibri" w:hAnsi="Calibri"/>
          <w:color w:val="1A1A1A"/>
          <w:sz w:val="20"/>
        </w:rPr>
        <w:t xml:space="preserve">  —  How to translate old APEX data using migration maps</w:t>
      </w:r>
    </w:p>
    <w:p>
      <w:pPr>
        <w:spacing w:before="20" w:after="20"/>
      </w:pPr>
      <w:r>
        <w:rPr>
          <w:rFonts w:ascii="Calibri" w:hAnsi="Calibri"/>
          <w:b/>
          <w:color w:val="04400A"/>
          <w:sz w:val="22"/>
        </w:rPr>
        <w:t>7.  5 Known Cosmetic Deltas</w:t>
      </w:r>
      <w:r>
        <w:rPr>
          <w:rFonts w:ascii="Calibri" w:hAnsi="Calibri"/>
          <w:color w:val="1A1A1A"/>
          <w:sz w:val="20"/>
        </w:rPr>
        <w:t xml:space="preserve">  —  Non-blocker items to address during sandbox import</w:t>
      </w:r>
    </w:p>
    <w:p>
      <w:pPr>
        <w:spacing w:before="20" w:after="20"/>
      </w:pPr>
      <w:r>
        <w:rPr>
          <w:rFonts w:ascii="Calibri" w:hAnsi="Calibri"/>
          <w:b/>
          <w:color w:val="04400A"/>
          <w:sz w:val="22"/>
        </w:rPr>
        <w:t>8.  Master Decision Ledger</w:t>
      </w:r>
      <w:r>
        <w:rPr>
          <w:rFonts w:ascii="Calibri" w:hAnsi="Calibri"/>
          <w:color w:val="1A1A1A"/>
          <w:sz w:val="20"/>
        </w:rPr>
        <w:t xml:space="preserve">  —  Butch's locks + Sam's directives — full DECISIONS.md</w:t>
      </w:r>
    </w:p>
    <w:p>
      <w:pPr>
        <w:spacing w:before="20" w:after="20"/>
      </w:pPr>
      <w:r>
        <w:rPr>
          <w:rFonts w:ascii="Calibri" w:hAnsi="Calibri"/>
          <w:b/>
          <w:color w:val="04400A"/>
          <w:sz w:val="22"/>
        </w:rPr>
        <w:t>9.  What Bridge Needs from APEX (not BEI)</w:t>
      </w:r>
      <w:r>
        <w:rPr>
          <w:rFonts w:ascii="Calibri" w:hAnsi="Calibri"/>
          <w:color w:val="1A1A1A"/>
          <w:sz w:val="20"/>
        </w:rPr>
        <w:t xml:space="preserve">  —  Opening balances, AR/AP, bank balances</w:t>
      </w:r>
    </w:p>
    <w:p>
      <w:pPr>
        <w:spacing w:before="20" w:after="20"/>
      </w:pPr>
      <w:r>
        <w:rPr>
          <w:rFonts w:ascii="Calibri" w:hAnsi="Calibri"/>
          <w:b/>
          <w:color w:val="04400A"/>
          <w:sz w:val="22"/>
        </w:rPr>
        <w:t>10. QBO Setup Checklist</w:t>
      </w:r>
      <w:r>
        <w:rPr>
          <w:rFonts w:ascii="Calibri" w:hAnsi="Calibri"/>
          <w:color w:val="1A1A1A"/>
          <w:sz w:val="20"/>
        </w:rPr>
        <w:t xml:space="preserve">  —  Step-by-step ordered checklist for sandbox + production</w:t>
      </w:r>
    </w:p>
    <w:p>
      <w:pPr>
        <w:spacing w:before="20" w:after="20"/>
      </w:pPr>
      <w:r>
        <w:rPr>
          <w:rFonts w:ascii="Calibri" w:hAnsi="Calibri"/>
          <w:b/>
          <w:color w:val="04400A"/>
          <w:sz w:val="22"/>
        </w:rPr>
        <w:t>11. Reference File Index</w:t>
      </w:r>
      <w:r>
        <w:rPr>
          <w:rFonts w:ascii="Calibri" w:hAnsi="Calibri"/>
          <w:color w:val="1A1A1A"/>
          <w:sz w:val="20"/>
        </w:rPr>
        <w:t xml:space="preserve">  —  All Drive links in one place</w:t>
      </w:r>
    </w:p>
    <w:p>
      <w:pPr>
        <w:spacing w:before="20" w:after="20"/>
      </w:pPr>
      <w:r>
        <w:rPr>
          <w:rFonts w:ascii="Calibri" w:hAnsi="Calibri"/>
          <w:b/>
          <w:color w:val="04400A"/>
          <w:sz w:val="22"/>
        </w:rPr>
        <w:t>12. Contact Directory</w:t>
      </w:r>
      <w:r>
        <w:rPr>
          <w:rFonts w:ascii="Calibri" w:hAnsi="Calibri"/>
          <w:color w:val="1A1A1A"/>
          <w:sz w:val="20"/>
        </w:rPr>
        <w:t xml:space="preserve">  —  Bridge + BEI stakeholders + escalation</w:t>
      </w:r>
    </w:p>
    <w:p>
      <w:pPr>
        <w:spacing w:before="20" w:after="20"/>
      </w:pPr>
      <w:r>
        <w:rPr>
          <w:rFonts w:ascii="Calibri" w:hAnsi="Calibri"/>
          <w:b/>
          <w:color w:val="04400A"/>
          <w:sz w:val="22"/>
        </w:rPr>
        <w:t>13. Sign-off</w:t>
      </w:r>
      <w:r>
        <w:rPr>
          <w:rFonts w:ascii="Calibri" w:hAnsi="Calibri"/>
          <w:color w:val="1A1A1A"/>
          <w:sz w:val="20"/>
        </w:rPr>
        <w:t xml:space="preserve">  —  CEO release + Bridge acknowledgment</w:t>
      </w:r>
    </w:p>
    <w:p>
      <w:pPr>
        <w:spacing w:before="0" w:after="0"/>
      </w:pPr>
      <w:r>
        <w:br w:type="page"/>
      </w:r>
    </w:p>
    <w:p/>
    <w:p>
      <w:r>
        <w:rPr>
          <w:rFonts w:ascii="Calibri" w:hAnsi="Calibri"/>
          <w:b/>
          <w:color w:val="04400A"/>
          <w:sz w:val="26"/>
        </w:rPr>
        <w:t>1.  READ THIS FIRST</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WHAT THIS DOCUMENT IS</w:t>
            </w:r>
          </w:p>
          <w:p>
            <w:pPr>
              <w:spacing w:before="0" w:after="60"/>
            </w:pPr>
            <w:r>
              <w:rPr>
                <w:rFonts w:ascii="Calibri" w:hAnsi="Calibri"/>
                <w:sz w:val="20"/>
              </w:rPr>
              <w:t>A single navigable walkthrough for Bridge Consulting to set up QuickBooks Online so that QBO mirrors BEI's Frappe ERP structure. Every supporting file is linked in the Reference File Index (Section 11) and uploaded to the same Drive folder where Bridge already has Editor access.</w:t>
            </w:r>
          </w:p>
        </w:tc>
      </w:tr>
    </w:tbl>
    <w:p>
      <w:r>
        <w:rPr>
          <w:rFonts w:ascii="Calibri" w:hAnsi="Calibri"/>
        </w:rPr>
        <w:t>Three facts to anchor everything below:</w:t>
      </w:r>
    </w:p>
    <w:p>
      <w:pPr>
        <w:spacing w:before="40" w:after="20"/>
      </w:pPr>
      <w:r>
        <w:rPr>
          <w:rFonts w:ascii="Calibri" w:hAnsi="Calibri"/>
          <w:b/>
          <w:color w:val="04400A"/>
          <w:sz w:val="22"/>
        </w:rPr>
        <w:t xml:space="preserve">  •  </w:t>
      </w:r>
      <w:r>
        <w:rPr>
          <w:rFonts w:ascii="Calibri" w:hAnsi="Calibri"/>
          <w:b/>
          <w:color w:val="1A1A1A"/>
          <w:sz w:val="22"/>
        </w:rPr>
        <w:t>Frappe is the TARGET ERP, not the current live system.</w:t>
      </w:r>
    </w:p>
    <w:p>
      <w:r>
        <w:rPr>
          <w:rFonts w:ascii="Calibri" w:hAnsi="Calibri"/>
        </w:rPr>
        <w:t>Bebang Enterprise's accounting was on Apex Solutions. Apex is being retired. Bridge is migrating Apex transactions into QuickBooks Online (QBO) AND BEI is transitioning its operating ERP from Apex to Frappe simultaneously. The COA we ship from Frappe defines the TARGET shape; Apex provides the historical data.</w:t>
      </w:r>
    </w:p>
    <w:p>
      <w:pPr>
        <w:spacing w:before="40" w:after="20"/>
      </w:pPr>
      <w:r>
        <w:rPr>
          <w:rFonts w:ascii="Calibri" w:hAnsi="Calibri"/>
          <w:b/>
          <w:color w:val="04400A"/>
          <w:sz w:val="22"/>
        </w:rPr>
        <w:t xml:space="preserve">  •  </w:t>
      </w:r>
      <w:r>
        <w:rPr>
          <w:rFonts w:ascii="Calibri" w:hAnsi="Calibri"/>
          <w:b/>
          <w:color w:val="1A1A1A"/>
          <w:sz w:val="22"/>
        </w:rPr>
        <w:t>BEI runs 58 Frappe Companies, not 1.</w:t>
      </w:r>
    </w:p>
    <w:p>
      <w:r>
        <w:rPr>
          <w:rFonts w:ascii="Calibri" w:hAnsi="Calibri"/>
        </w:rPr>
        <w:t>Per Sam's directive 2026-06-04, every store gets its own per-store P&amp;L. The 58 Companies represent 9 group/holdco entities + 49 store-level Companies (including 4 BEI-TIN stub stores filed under BEI's TIN for management reporting). Bridge should create the corresponding 58 QBO Companies.</w:t>
      </w:r>
    </w:p>
    <w:p>
      <w:pPr>
        <w:spacing w:before="40" w:after="20"/>
      </w:pPr>
      <w:r>
        <w:rPr>
          <w:rFonts w:ascii="Calibri" w:hAnsi="Calibri"/>
          <w:b/>
          <w:color w:val="04400A"/>
          <w:sz w:val="22"/>
        </w:rPr>
        <w:t xml:space="preserve">  •  </w:t>
      </w:r>
      <w:r>
        <w:rPr>
          <w:rFonts w:ascii="Calibri" w:hAnsi="Calibri"/>
          <w:b/>
          <w:color w:val="1A1A1A"/>
          <w:sz w:val="22"/>
        </w:rPr>
        <w:t>Butch Formoso (former CFO) locked the COA design in April 2026.</w:t>
      </w:r>
    </w:p>
    <w:p>
      <w:r>
        <w:rPr>
          <w:rFonts w:ascii="Calibri" w:hAnsi="Calibri"/>
        </w:rPr>
        <w:t>All canonical decisions are in DECISIONS.md as COA-175-001..030. Butch resigned 2026-04-15 but his signed locks remain BINDING per the 2026-05-07 supersession banner. Sam (CEO) ratifies all post-resignation supersessions.</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HOW TO USE THIS DOCUMENT</w:t>
            </w:r>
          </w:p>
          <w:p>
            <w:pPr>
              <w:spacing w:before="0" w:after="60"/>
            </w:pPr>
            <w:r>
              <w:rPr>
                <w:rFonts w:ascii="Calibri" w:hAnsi="Calibri"/>
                <w:sz w:val="20"/>
              </w:rPr>
              <w:t>Sections 2-9 explain the WHAT and WHY. Section 10 is the operational step-by-step CHECKLIST for QBO setup — work through it in order. Every reference file linked is in your BEI COA Handoff Drive folder.</w:t>
            </w:r>
          </w:p>
        </w:tc>
      </w:tr>
    </w:tbl>
    <w:p/>
    <w:p>
      <w:r>
        <w:rPr>
          <w:rFonts w:ascii="Calibri" w:hAnsi="Calibri"/>
          <w:b/>
          <w:color w:val="04400A"/>
          <w:sz w:val="26"/>
        </w:rPr>
        <w:t>Quick Numbers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ook w:firstColumn="1" w:firstRow="1" w:lastColumn="0" w:lastRow="0" w:noHBand="0" w:noVBand="1" w:val="04A0"/>
      </w:tblPr>
      <w:tblGrid>
        <w:gridCol w:w="1733"/>
        <w:gridCol w:w="1733"/>
        <w:gridCol w:w="1733"/>
        <w:gridCol w:w="1733"/>
        <w:gridCol w:w="1733"/>
      </w:tblGrid>
      <w:tr>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801297"/>
                <w:sz w:val="40"/>
              </w:rPr>
              <w:t>58</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801297"/>
                <w:sz w:val="40"/>
              </w:rPr>
              <w:t>6,928</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801297"/>
                <w:sz w:val="40"/>
              </w:rPr>
              <w:t>290</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801297"/>
                <w:sz w:val="40"/>
              </w:rPr>
              <w:t>100%</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801297"/>
                <w:sz w:val="40"/>
              </w:rPr>
              <w:t>27</w:t>
            </w:r>
          </w:p>
        </w:tc>
      </w:tr>
      <w:tr>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1A1A1A"/>
                <w:sz w:val="18"/>
              </w:rPr>
              <w:t>Companies</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1A1A1A"/>
                <w:sz w:val="18"/>
              </w:rPr>
              <w:t>Active Accounts</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1A1A1A"/>
                <w:sz w:val="18"/>
              </w:rPr>
              <w:t>Root Groups</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1A1A1A"/>
                <w:sz w:val="18"/>
              </w:rPr>
              <w:t>GL Preserved</w:t>
            </w:r>
          </w:p>
        </w:tc>
        <w:tc>
          <w:tcPr>
            <w:tcW w:type="dxa" w:w="1733"/>
            <w:shd w:fill="F2E5F5" w:val="clear"/>
            <w:tcBorders>
              <w:top w:val="single" w:sz="4" w:color="D4D0C8"/>
              <w:left w:val="single" w:sz="4" w:color="D4D0C8"/>
              <w:bottom w:val="single" w:sz="4" w:color="D4D0C8"/>
              <w:right w:val="single" w:sz="4" w:color="D4D0C8"/>
            </w:tcBorders>
            <w:tcMar>
              <w:top w:w="120" w:type="dxa"/>
              <w:bottom w:w="60" w:type="dxa"/>
              <w:start w:w="40" w:type="dxa"/>
              <w:end w:w="40" w:type="dxa"/>
            </w:tcMar>
          </w:tcPr>
          <w:p>
            <w:pPr>
              <w:jc w:val="center"/>
            </w:pPr>
            <w:r/>
            <w:r>
              <w:rPr>
                <w:rFonts w:ascii="Calibri" w:hAnsi="Calibri"/>
                <w:b/>
                <w:color w:val="1A1A1A"/>
                <w:sz w:val="18"/>
              </w:rPr>
              <w:t>COA-175 Locks</w:t>
            </w:r>
          </w:p>
        </w:tc>
      </w:tr>
    </w:tbl>
    <w:p>
      <w:pPr>
        <w:spacing w:before="0" w:after="0"/>
      </w:pPr>
      <w:r>
        <w:br w:type="page"/>
      </w:r>
    </w:p>
    <w:p/>
    <w:p>
      <w:r>
        <w:rPr>
          <w:rFonts w:ascii="Calibri" w:hAnsi="Calibri"/>
          <w:b/>
          <w:color w:val="04400A"/>
          <w:sz w:val="26"/>
        </w:rPr>
        <w:t>2.  THE COMPANY UNIVERSE — 58 Frappe Companies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BEI's accounting structure is a per-store P&amp;L model. Each of the 49 physical stores is its own Frappe Company (with its own Chart of Accounts, Sales tree, and rolled-up P&amp;L). Group entities (legal-entity parents, holdcos, the franchisor, the commissary) round out the 58. Bridge should create the same 58 in QBO — one QuickBooks Online Company per Frappe Company.</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REFERENCE FILE — Live Company Register</w:t>
            </w:r>
          </w:p>
          <w:p>
            <w:pPr>
              <w:spacing w:before="0" w:after="60"/>
            </w:pPr>
            <w:r>
              <w:rPr>
                <w:rFonts w:ascii="Calibri" w:hAnsi="Calibri"/>
                <w:sz w:val="20"/>
              </w:rPr>
              <w:t>COMPANY_REGISTER.xlsx in the Drive folder: 4 sheets including all 58 Companies with role / ABBR / parent / TIN / RDO / VAT status / account counts, plus the Per-Role P&amp;L Population Rules and Butch's verbatim 27-account Sales tree.</w:t>
            </w:r>
          </w:p>
        </w:tc>
      </w:tr>
    </w:tbl>
    <w:p/>
    <w:p>
      <w:r>
        <w:rPr>
          <w:rFonts w:ascii="Calibri" w:hAnsi="Calibri"/>
          <w:b/>
          <w:color w:val="04400A"/>
          <w:sz w:val="26"/>
        </w:rPr>
        <w:t>Role distribution</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ook w:firstColumn="1" w:firstRow="1" w:lastColumn="0" w:lastRow="0" w:noHBand="0" w:noVBand="1" w:val="04A0"/>
      </w:tblPr>
      <w:tblGrid>
        <w:gridCol w:w="3024"/>
        <w:gridCol w:w="1152"/>
        <w:gridCol w:w="5760"/>
      </w:tblGrid>
      <w:tr>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b/>
                <w:color w:val="FFFFFF"/>
                <w:sz w:val="20"/>
              </w:rPr>
              <w:t>Role</w:t>
            </w:r>
          </w:p>
        </w:tc>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b/>
                <w:color w:val="FFFFFF"/>
                <w:sz w:val="20"/>
              </w:rPr>
              <w:t>Count</w:t>
            </w:r>
          </w:p>
        </w:tc>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b/>
                <w:color w:val="FFFFFF"/>
                <w:sz w:val="20"/>
              </w:rPr>
              <w:t>Frappe Company examples</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Holdco (top of tree)</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color w:val="1A1A1A"/>
                <w:sz w:val="20"/>
              </w:rPr>
              <w:t>1</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IRRESISTIBLE INFUSIONS INC. (III) — is_group=1, parent of all</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Head Office (BEI HQ)</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color w:val="1A1A1A"/>
                <w:sz w:val="20"/>
              </w:rPr>
              <w:t>1</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BEBANG ENTERPRISE INC. (BEI) — JV fees + Brand Growth + corporate overhead</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Commissary</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color w:val="1A1A1A"/>
                <w:sz w:val="20"/>
              </w:rPr>
              <w:t>1</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BEBANG KITCHEN INC. (BKI) — Manufacturing, BKI→store deliveries</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Franchisor (Fork 1)</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color w:val="1A1A1A"/>
                <w:sz w:val="20"/>
              </w:rPr>
              <w:t>1</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BEBANG FRANCHISE CORP. (BFC) — Royalty / Mgmt / Franchise / Marketing / E-Comm fees</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Legal Entity Parents (group=1)</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color w:val="1A1A1A"/>
                <w:sz w:val="20"/>
              </w:rPr>
              <w:t>~6</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BEBANG MEGA INC. (BMI2), TAJ FOOD CORP., TUNGSTEN CAPITAL HOLDINGS OPC, etc.</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Per-store P&amp;L Companies (49)</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color w:val="1A1A1A"/>
                <w:sz w:val="20"/>
              </w:rPr>
              <w:t>49</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AYALA VERMOSA - BEBANG MEGA INC., SM TANZA - BEBANG MEGA INC., etc.</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BEI-TIN stub stores (4 of 49)</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center"/>
            </w:pPr>
            <w:r/>
            <w:r>
              <w:rPr>
                <w:rFonts w:ascii="Calibri" w:hAnsi="Calibri"/>
                <w:color w:val="1A1A1A"/>
                <w:sz w:val="20"/>
              </w:rPr>
              <w:t>(4 incl)</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jc w:val="left"/>
            </w:pPr>
            <w:r/>
            <w:r>
              <w:rPr>
                <w:rFonts w:ascii="Calibri" w:hAnsi="Calibri"/>
                <w:color w:val="1A1A1A"/>
                <w:sz w:val="20"/>
              </w:rPr>
              <w:t>ROBINSONS ANTIPOLO / SM MANILA / SM MEGAMALL / SM SOUTHMALL — file under BEI TIN</w:t>
            </w:r>
          </w:p>
        </w:tc>
      </w:tr>
    </w:tbl>
    <w:p/>
    <w:p>
      <w:r>
        <w:rPr>
          <w:rFonts w:ascii="Calibri" w:hAnsi="Calibri"/>
          <w:b/>
          <w:color w:val="04400A"/>
          <w:sz w:val="26"/>
        </w:rPr>
        <w:t>ABBR naming convention</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Each Frappe Company has a short ABBR used as the suffix on every account name (e.g. `IN-STORE SALES - BMI2`, `Round Off - BKI`). When Bridge creates the QBO Companies, use the ABBR consistently as the QBO Company short-name and as the AccountName suffix to keep the link between Frappe and QBO unambiguous.</w:t>
      </w:r>
    </w:p>
    <w:p>
      <w:pPr>
        <w:spacing w:before="0" w:after="0"/>
      </w:pPr>
      <w:r>
        <w:br w:type="page"/>
      </w:r>
    </w:p>
    <w:p/>
    <w:p>
      <w:r>
        <w:rPr>
          <w:rFonts w:ascii="Calibri" w:hAnsi="Calibri"/>
          <w:b/>
          <w:color w:val="04400A"/>
          <w:sz w:val="26"/>
        </w:rPr>
        <w:t>3.  THE CANONICAL CHART OF ACCOUNTS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Every Company shares the SAME structural Chart of Accounts. The differences are in WHICH sub-tree of the 27-account Sales tree gets postings (i.e. which Income leaves carry transactional revenue) and in the role-specific Expense classifications.</w:t>
      </w:r>
    </w:p>
    <w:p/>
    <w:p>
      <w:r>
        <w:rPr>
          <w:rFonts w:ascii="Calibri" w:hAnsi="Calibri"/>
          <w:b/>
          <w:color w:val="04400A"/>
          <w:sz w:val="26"/>
        </w:rPr>
        <w:t>5-root tree (Asset / Liability / Equity / Income / Expense)</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Every Company now carries 5 root group accounts (`Asset - &lt;ABBR&gt;`, `Liability - &lt;ABBR&gt;`, etc.). These were seeded in Phase 3a of S258 via bench execute with `frappe.local.flags.ignore_root_company_validation = True`. QBO will infer hierarchy from the ParentAccount column in the per-Company CSVs — Bridge does not need to manually re-create the 5-root scaffolding.</w:t>
      </w:r>
    </w:p>
    <w:p/>
    <w:p>
      <w:r>
        <w:rPr>
          <w:rFonts w:ascii="Calibri" w:hAnsi="Calibri"/>
          <w:b/>
          <w:color w:val="04400A"/>
          <w:sz w:val="26"/>
        </w:rPr>
        <w:t>Butch's 27-account Sales tree (COA-175-001, locked 2026-04-08)</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Butch's locked Sales hierarchy is structurally identical across all 58 Companies. The number space is `4000000` SALES → 4 sub-trees: `4000100` STORE SALES, `4000200` BKI SALES, `4000230` FEES, `4000900` DISCOUNTS AND PROMO. See Sheet 4 of COMPANY_REGISTER.xlsx for the verbatim 27-row table.</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PER-ROLE POPULATION (which sub-tree gets postings)</w:t>
            </w:r>
          </w:p>
          <w:p>
            <w:pPr>
              <w:spacing w:before="0" w:after="60"/>
            </w:pPr>
            <w:r>
              <w:rPr>
                <w:rFonts w:ascii="Calibri" w:hAnsi="Calibri"/>
                <w:sz w:val="18"/>
              </w:rPr>
              <w:t>Head Office (BEI): 4000234 + 4000235 + 4000005    |    Commissary (BKI): 4000200 sub-tree only    |    Franchisor (BFC): 4000230 FEES only    |    Stores: 4000110 + 4000121 + 4000122 + 4000123    |    Stubs (ROA/SMM/SMMM/SMS): same as Stores</w:t>
            </w:r>
          </w:p>
        </w:tc>
      </w:tr>
    </w:tbl>
    <w:p/>
    <w:p>
      <w:r>
        <w:rPr>
          <w:rFonts w:ascii="Calibri" w:hAnsi="Calibri"/>
          <w:b/>
          <w:color w:val="04400A"/>
          <w:sz w:val="26"/>
        </w:rPr>
        <w:t>Two key COA-175 decisions Bridge should know cold</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(a) COA-175-002 — DISCOUNTS AND PROMO. All contra-revenue (PWD, Senior Citizen, promo, employee, refund) lives at `4000900` as a group with 8 leaves `4000901..4000908`. Bridge should set up QBO discount classes mapped to these exact numbers. The legacy Apex range `4000201..4000208` (used in early 2026) has been renumbered.</w:t>
      </w:r>
    </w:p>
    <w:p>
      <w:r>
        <w:rPr>
          <w:rFonts w:ascii="Calibri" w:hAnsi="Calibri"/>
        </w:rPr>
        <w:t>(b) COA-175-011 — BKI is Commissary only. BKI populates ONLY `4000200 BKI SALES` and its sub-tree. BKI has no in-store sales, no online sales, no franchise income. If you see Apex postings on BKI to `4000110` or `4000300`, those are migration artifacts to be cleared (or reclassified to the actual selling Company).</w:t>
      </w:r>
    </w:p>
    <w:p>
      <w:pPr>
        <w:spacing w:before="0" w:after="0"/>
      </w:pPr>
      <w:r>
        <w:br w:type="page"/>
      </w:r>
    </w:p>
    <w:p/>
    <w:p>
      <w:r>
        <w:rPr>
          <w:rFonts w:ascii="Calibri" w:hAnsi="Calibri"/>
          <w:b/>
          <w:color w:val="04400A"/>
          <w:sz w:val="26"/>
        </w:rPr>
        <w:t>4.  TAX &amp; REGULATORY SETUP</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All 58 Companies are PHP-denominated and operate under Philippine BIR regulation. Standard VAT is 12% (mid-2025 onward). Below is the canonical tax taxonomy Bridge should mirror in QBO.</w:t>
      </w:r>
    </w:p>
    <w:p/>
    <w:p>
      <w:r>
        <w:rPr>
          <w:rFonts w:ascii="Calibri" w:hAnsi="Calibri"/>
          <w:b/>
          <w:color w:val="04400A"/>
          <w:sz w:val="26"/>
        </w:rPr>
        <w:t>VAT structure (4-stem Input + 1 Output)</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ook w:firstColumn="1" w:firstRow="1" w:lastColumn="0" w:lastRow="0" w:noHBand="0" w:noVBand="1" w:val="04A0"/>
      </w:tblPr>
      <w:tblGrid>
        <w:gridCol w:w="2592"/>
        <w:gridCol w:w="1728"/>
        <w:gridCol w:w="3600"/>
        <w:gridCol w:w="2160"/>
      </w:tblGrid>
      <w:tr>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Code</w:t>
            </w:r>
          </w:p>
        </w:tc>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Account number</w:t>
            </w:r>
          </w:p>
        </w:tc>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Account name</w:t>
            </w:r>
          </w:p>
        </w:tc>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QBO suggested DetailType</w:t>
            </w:r>
          </w:p>
        </w:tc>
      </w:tr>
      <w:tr>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Output VAT</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2102205</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OUTPUT VAT PAYABLE</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SalesTaxPayable</w:t>
            </w:r>
          </w:p>
        </w:tc>
      </w:tr>
      <w:tr>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Input VAT — Goods</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1105103</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INPUT VAT - GOODS</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OtherCurrentAssets</w:t>
            </w:r>
          </w:p>
        </w:tc>
      </w:tr>
      <w:tr>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Input VAT — Services</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1105104</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INPUT VAT - SERVICES</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OtherCurrentAssets</w:t>
            </w:r>
          </w:p>
        </w:tc>
      </w:tr>
      <w:tr>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Input VAT — Importation</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1105105</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INPUT VAT - IMPORTATION</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OtherCurrentAssets</w:t>
            </w:r>
          </w:p>
        </w:tc>
      </w:tr>
      <w:tr>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Input VAT — Inter-Co</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color w:val="1A1A1A"/>
                <w:sz w:val="20"/>
              </w:rPr>
              <w:t>1106210</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INPUT VAT - BKI INTER-CO</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left"/>
            </w:pPr>
            <w:r/>
            <w:r>
              <w:rPr>
                <w:rFonts w:ascii="Calibri" w:hAnsi="Calibri"/>
                <w:color w:val="1A1A1A"/>
                <w:sz w:val="20"/>
              </w:rPr>
              <w:t>OtherCurrentAssets</w:t>
            </w:r>
          </w:p>
        </w:tc>
      </w:tr>
    </w:tbl>
    <w:p>
      <w:r>
        <w:rPr>
          <w:rFonts w:ascii="Calibri" w:hAnsi="Calibri"/>
        </w:rPr>
        <w:t>The 4-stem Input VAT split is required by BIR Form 2550Q Schedule 3 — Purchases / Importations (Goods / Services / Importation as separate columns). The Inter-Co stem is management-control per Butch's ICT-001. Do NOT consolidate the four stems in QBO — Bridge will need to file 2550Q quarterly per Company.</w:t>
      </w:r>
    </w:p>
    <w:p/>
    <w:p>
      <w:r>
        <w:rPr>
          <w:rFonts w:ascii="Calibri" w:hAnsi="Calibri"/>
          <w:b/>
          <w:color w:val="04400A"/>
          <w:sz w:val="26"/>
        </w:rPr>
        <w:t>EWT codes (TAX-002 — Butch locked 2026-02-19)</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ook w:firstColumn="1" w:firstRow="1" w:lastColumn="0" w:lastRow="0" w:noHBand="0" w:noVBand="1" w:val="04A0"/>
      </w:tblPr>
      <w:tblGrid>
        <w:gridCol w:w="3744"/>
        <w:gridCol w:w="864"/>
        <w:gridCol w:w="3312"/>
        <w:gridCol w:w="2160"/>
      </w:tblGrid>
      <w:tr>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Category</w:t>
            </w:r>
          </w:p>
        </w:tc>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Rate</w:t>
            </w:r>
          </w:p>
        </w:tc>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ATC</w:t>
            </w:r>
          </w:p>
        </w:tc>
        <w:tc>
          <w:tcPr>
            <w:tcW w:type="dxa" w:w="2166"/>
            <w:shd w:fill="04400A"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pPr>
              <w:jc w:val="center"/>
            </w:pPr>
            <w:r/>
            <w:r>
              <w:rPr>
                <w:rFonts w:ascii="Calibri" w:hAnsi="Calibri"/>
                <w:b/>
                <w:color w:val="FFFFFF"/>
                <w:sz w:val="20"/>
              </w:rPr>
              <w:t>Trigger</w:t>
            </w:r>
          </w:p>
        </w:tc>
      </w:tr>
      <w:tr>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Professional fees — Individual ≤ 3M</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5%</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WI050 (mgmt/tech) / WI010 (lawyers/CPAs)</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All professional payments</w:t>
            </w:r>
          </w:p>
        </w:tc>
      </w:tr>
      <w:tr>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Professional fees — Individual &gt; 3M or VAT-reg</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10%</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WI051 / WI011</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All professional payments</w:t>
            </w:r>
          </w:p>
        </w:tc>
      </w:tr>
      <w:tr>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Professional fees — Corp ≤ 720K</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10%</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WC050 / WC010</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Corporate professional payments</w:t>
            </w:r>
          </w:p>
        </w:tc>
      </w:tr>
      <w:tr>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Professional fees — Corp &gt; 720K</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15%</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WC051 / WC011</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Corporate professional payments</w:t>
            </w:r>
          </w:p>
        </w:tc>
      </w:tr>
      <w:tr>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Rentals — Individual lessor</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5%</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WI100</w:t>
            </w:r>
          </w:p>
        </w:tc>
        <w:tc>
          <w:tcPr>
            <w:tcW w:type="dxa" w:w="2166"/>
            <w:shd w:fill="FFFFFF"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Lease payments to individual</w:t>
            </w:r>
          </w:p>
        </w:tc>
      </w:tr>
      <w:tr>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Rentals — Corporate lessor</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5%</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WC100</w:t>
            </w:r>
          </w:p>
        </w:tc>
        <w:tc>
          <w:tcPr>
            <w:tcW w:type="dxa" w:w="2166"/>
            <w:shd w:fill="E6ECE7" w:val="clear"/>
            <w:tcBorders>
              <w:top w:val="single" w:sz="4" w:color="D4D0C8"/>
              <w:left w:val="single" w:sz="4" w:color="D4D0C8"/>
              <w:bottom w:val="single" w:sz="4" w:color="D4D0C8"/>
              <w:right w:val="single" w:sz="4" w:color="D4D0C8"/>
            </w:tcBorders>
            <w:tcMar>
              <w:top w:w="40" w:type="dxa"/>
              <w:bottom w:w="40" w:type="dxa"/>
              <w:start w:w="80" w:type="dxa"/>
              <w:end w:w="80" w:type="dxa"/>
            </w:tcMar>
          </w:tcPr>
          <w:p>
            <w:r/>
            <w:r>
              <w:rPr>
                <w:rFonts w:ascii="Calibri" w:hAnsi="Calibri"/>
                <w:color w:val="1A1A1A"/>
                <w:sz w:val="18"/>
              </w:rPr>
              <w:t>Lease payments to corporate</w:t>
            </w:r>
          </w:p>
        </w:tc>
      </w:tr>
    </w:tbl>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BIR Filing Calendar — what each Company files</w:t>
            </w:r>
          </w:p>
          <w:p>
            <w:pPr>
              <w:spacing w:before="0" w:after="60"/>
            </w:pPr>
            <w:r>
              <w:rPr>
                <w:rFonts w:ascii="Calibri" w:hAnsi="Calibri"/>
                <w:sz w:val="18"/>
              </w:rPr>
              <w:t>Monthly: 1601-EQ (EWT) within 10 days after month-end. Quarterly: 2550Q (VAT) within 25 days after Q-end + 1701Q/1702Q (Income Tax) within 60 days. Annually: 1604CF/1604E (alphabetical lists) and AFS. TAX-007 confirms BIR Form 2550M was abolished per RMC 5-2023 — do NOT set up monthly VAT.</w:t>
            </w:r>
          </w:p>
        </w:tc>
      </w:tr>
    </w:tbl>
    <w:p>
      <w:r>
        <w:rPr>
          <w:rFonts w:ascii="Calibri" w:hAnsi="Calibri"/>
        </w:rPr>
        <w:t>Currency: PHP across all 58 Companies. Fiscal year: calendar year (Jan 1 – Dec 31).</w:t>
      </w:r>
    </w:p>
    <w:p>
      <w:pPr>
        <w:spacing w:before="0" w:after="0"/>
      </w:pPr>
      <w:r>
        <w:br w:type="page"/>
      </w:r>
    </w:p>
    <w:p/>
    <w:p>
      <w:r>
        <w:rPr>
          <w:rFonts w:ascii="Calibri" w:hAnsi="Calibri"/>
          <w:b/>
          <w:color w:val="04400A"/>
          <w:sz w:val="26"/>
        </w:rPr>
        <w:t>5.  INTERCOMPANY SCHEME</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BEI's group has three intercompany flows Bridge needs to mirror exactly. Each is documented with a verbatim JE pattern below.</w:t>
      </w:r>
    </w:p>
    <w:p/>
    <w:p>
      <w:r>
        <w:rPr>
          <w:rFonts w:ascii="Calibri" w:hAnsi="Calibri"/>
          <w:b/>
          <w:color w:val="04400A"/>
          <w:sz w:val="26"/>
        </w:rPr>
        <w:t>(a) Fork 1 — BFC collection-agent model (COA-175-013)</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Until BFC's BIR Authority-to-Print (OR booklet) is approved by RDO 044, BEI collects franchise fees AS AGENT for BFC. The economic substance is BFC's revenue but the cash lands on BEI's bank. Both sides book intercompany so consolidation eliminates to zero.</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0"/>
              </w:rPr>
              <w:t>JE pattern — Franchisee pays BEI for BFC services</w:t>
            </w:r>
          </w:p>
          <w:p>
            <w:pPr>
              <w:spacing w:before="0" w:after="60"/>
            </w:pPr>
            <w:r>
              <w:rPr>
                <w:rFonts w:ascii="Calibri" w:hAnsi="Calibri"/>
                <w:sz w:val="18"/>
              </w:rPr>
              <w:t>On BEI (agent):    Dr Cash on Hand - BEI    /    Cr 2104200 DUE TO BFC - BEI</w:t>
            </w:r>
          </w:p>
          <w:p>
            <w:pPr>
              <w:spacing w:before="0" w:after="60"/>
            </w:pPr>
            <w:r>
              <w:rPr>
                <w:rFonts w:ascii="Calibri" w:hAnsi="Calibri"/>
                <w:sz w:val="18"/>
              </w:rPr>
              <w:t>On BFC (principal): Dr 1104200 DUE FROM BEI - BFC    /    Cr 4000231 ROYALTY FEES - BFC + 2102205 OUTPUT VAT - BFC</w:t>
            </w:r>
          </w:p>
          <w:p>
            <w:pPr>
              <w:spacing w:before="0" w:after="60"/>
            </w:pPr>
            <w:r>
              <w:rPr>
                <w:rFonts w:ascii="Calibri" w:hAnsi="Calibri"/>
                <w:sz w:val="18"/>
              </w:rPr>
              <w:t>At cutover (BFC bank opens):  BEI sweeps DUE TO BFC balance to BFC's BDO; both intercompany accounts zero out.</w:t>
            </w:r>
          </w:p>
        </w:tc>
      </w:tr>
    </w:tbl>
    <w:p/>
    <w:p>
      <w:r>
        <w:rPr>
          <w:rFonts w:ascii="Calibri" w:hAnsi="Calibri"/>
          <w:b/>
          <w:color w:val="04400A"/>
          <w:sz w:val="26"/>
        </w:rPr>
        <w:t>(b) BKI→Store paired SI/PI — Butch ICT-001..007</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When BKI ships goods to a store, it's an EXTERNAL purchase with 12% VAT (NOT an internal transfer). Butch's ICT-001 locks this as a paired Sales Invoice (on BKI's side) + Purchase Invoice (on the buyer Company's side) with 2.75% markup on goods and 8% markup on services.</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0"/>
              </w:rPr>
              <w:t>JE pattern — BKI ships PHP 10,000 of goods (markup 2.75%) to AYALA VERMOSA store</w:t>
            </w:r>
          </w:p>
          <w:p>
            <w:pPr>
              <w:spacing w:before="0" w:after="60"/>
            </w:pPr>
            <w:r>
              <w:rPr>
                <w:rFonts w:ascii="Calibri" w:hAnsi="Calibri"/>
                <w:sz w:val="18"/>
              </w:rPr>
              <w:t>On BKI (seller):      Dr 1103210 AR - AYVER - BKI 11,500    /    Cr 4000210 DELIVERIES - BKI 10,275 + 2102205 OUTPUT VAT - BKI 1,225</w:t>
            </w:r>
          </w:p>
          <w:p>
            <w:pPr>
              <w:spacing w:before="0" w:after="60"/>
            </w:pPr>
            <w:r>
              <w:rPr>
                <w:rFonts w:ascii="Calibri" w:hAnsi="Calibri"/>
                <w:sz w:val="18"/>
              </w:rPr>
              <w:t>On AYVER (buyer):     Dr 1104210 Inventory-from-Commissary - AYVER 10,275 + 1106210 INPUT VAT - BKI Inter-Co 1,225    /    Cr 2103210 AP - BKI Inter-Co - AYVER 11,500</w:t>
            </w:r>
          </w:p>
        </w:tc>
      </w:tr>
    </w:tbl>
    <w:p/>
    <w:p>
      <w:r>
        <w:rPr>
          <w:rFonts w:ascii="Calibri" w:hAnsi="Calibri"/>
          <w:b/>
          <w:color w:val="04400A"/>
          <w:sz w:val="26"/>
        </w:rPr>
        <w:t>(c) Reliever labor cost-sharing (S206)</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When a reliever from Store A covers a shift at Store B, the labor cost is JE'd between the two per-store Companies using Internal Customers (S206). Internal Customers exist ONLY for labor JEs — never used for regular Sales Invoices. They have `is_internal_customer=1` and no TIN (since paired JEs need no BIR receipt).</w:t>
      </w:r>
    </w:p>
    <w:p>
      <w:pPr>
        <w:spacing w:before="0" w:after="0"/>
      </w:pPr>
      <w:r>
        <w:br w:type="page"/>
      </w:r>
    </w:p>
    <w:p/>
    <w:p>
      <w:r>
        <w:rPr>
          <w:rFonts w:ascii="Calibri" w:hAnsi="Calibri"/>
          <w:b/>
          <w:color w:val="04400A"/>
          <w:sz w:val="26"/>
        </w:rPr>
        <w:t>6.  APEX → CANONICAL TRANSLATION</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APEX (the system Bridge is migrating FROM) uses a flat-tree dialect with different account names and number conventions than Frappe canonical. S258 Phase 2.0 generated topologically-sorted migration maps for the 3 Apex-dialect parent Companies (BEI / BKI / III). Bridge uses these maps when importing historical APEX transactions into QBO so the transactions land on the right canonical account.</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REFERENCE FILES in Drive (migration maps as CSV)</w:t>
            </w:r>
          </w:p>
          <w:p>
            <w:pPr>
              <w:spacing w:before="0" w:after="60"/>
            </w:pPr>
            <w:r>
              <w:rPr>
                <w:rFonts w:ascii="Calibri" w:hAnsi="Calibri"/>
                <w:sz w:val="20"/>
              </w:rPr>
              <w:t>migration_map_BEI.csv (330 rows — Head Office Apex→canonical)</w:t>
            </w:r>
          </w:p>
          <w:p>
            <w:pPr>
              <w:spacing w:before="0" w:after="60"/>
            </w:pPr>
            <w:r>
              <w:rPr>
                <w:rFonts w:ascii="Calibri" w:hAnsi="Calibri"/>
                <w:sz w:val="20"/>
              </w:rPr>
              <w:t>migration_map_BKI.csv (325 rows — Commissary Apex→canonical)</w:t>
            </w:r>
          </w:p>
          <w:p>
            <w:pPr>
              <w:spacing w:before="0" w:after="60"/>
            </w:pPr>
            <w:r>
              <w:rPr>
                <w:rFonts w:ascii="Calibri" w:hAnsi="Calibri"/>
                <w:sz w:val="20"/>
              </w:rPr>
              <w:t>migration_map_III.csv (327 rows — Holdco Apex→canonical)</w:t>
            </w:r>
          </w:p>
        </w:tc>
      </w:tr>
    </w:tbl>
    <w:p>
      <w:r>
        <w:rPr>
          <w:rFonts w:ascii="Calibri" w:hAnsi="Calibri"/>
        </w:rPr>
        <w:t>Each map has columns: old_name, old_parent, old_account_number, canonical_name, canonical_parent, canonical_account_number, canonical_root_type, canonical_account_type, migration_action, is_group. Rows are topologically sorted (parents before children). migration_action is one of NOOP (already canonical), RENAME (apply translation), UNRESOLVED (no canonical match — Bridge decides during sandbox import).</w:t>
      </w:r>
    </w:p>
    <w:p/>
    <w:p>
      <w:r>
        <w:rPr>
          <w:rFonts w:ascii="Calibri" w:hAnsi="Calibri"/>
          <w:b/>
          <w:color w:val="04400A"/>
          <w:sz w:val="26"/>
        </w:rPr>
        <w:t>Frappe → QBO type mapping (Appendix F)</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Sheet 3 of master_reconciliation.xlsx is the full Frappe-account-type → QBO-AccountType + DetailType map (18 explicit + 5 root_type fallback). Apply it after the APEX→canonical translation. The mapping is best-effort; the QBO sandbox import will surface any DetailType rejections, then Bridge and BEI iterate.</w:t>
      </w:r>
    </w:p>
    <w:p>
      <w:pPr>
        <w:spacing w:before="0" w:after="0"/>
      </w:pPr>
      <w:r>
        <w:br w:type="page"/>
      </w:r>
    </w:p>
    <w:p/>
    <w:p>
      <w:r>
        <w:rPr>
          <w:rFonts w:ascii="Calibri" w:hAnsi="Calibri"/>
          <w:b/>
          <w:color w:val="04400A"/>
          <w:sz w:val="26"/>
        </w:rPr>
        <w:t>7.  5 KNOWN COSMETIC DELTAS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Five non-blocking items remain in Frappe state. Bridge can import the 58 CSVs as-is and address these during sandbox iteration. Full detail in Sheet 4 of master_reconciliation.xlsx and in BRIDGE_READINESS_ASSESSMENT.</w:t>
      </w:r>
    </w:p>
    <w:tbl>
      <w:tblPr>
        <w:tblW w:type="auto" w:w="0"/>
        <w:jc w:val="center"/>
        <w:tblLook w:firstColumn="1" w:firstRow="1" w:lastColumn="0" w:lastRow="0" w:noHBand="0" w:noVBand="1" w:val="04A0"/>
      </w:tblPr>
      <w:tblGrid>
        <w:gridCol w:w="576"/>
        <w:gridCol w:w="5760"/>
        <w:gridCol w:w="3744"/>
      </w:tblGrid>
      <w:tr>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w:t>
            </w:r>
          </w:p>
        </w:tc>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Delta</w:t>
            </w:r>
          </w:p>
        </w:tc>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Severity / Action</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1</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III still carries both old (4000201-206) AND new (4000901-903) discount account_numbers.</w:t>
            </w:r>
          </w:p>
        </w:tc>
        <w:tc>
          <w:tcPr>
            <w:tcW w:type="dxa" w:w="2889"/>
            <w:shd w:fill="FFFFFF" w:val="clear"/>
            <w:shd w:fill="CDD8CE"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LOW — III has 0 GL postings on either.</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2</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BEI STOCK ADJUSTMENT - BEI sits under LOCAL AD &amp; PROMO - BEI Expense group instead of Direct Expenses - BEI.</w:t>
            </w:r>
          </w:p>
        </w:tc>
        <w:tc>
          <w:tcPr>
            <w:tcW w:type="dxa" w:w="2889"/>
            <w:shd w:fill="E6ECE7" w:val="clear"/>
            <w:shd w:fill="CDD8CE"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LOW — pre-existing orphan; no operational impact.</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3</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Some BEI/III accounts retained number prefix in docname (e.g. `4000100 - STORE SALES - BEI`).</w:t>
            </w:r>
          </w:p>
        </w:tc>
        <w:tc>
          <w:tcPr>
            <w:tcW w:type="dxa" w:w="2889"/>
            <w:shd w:fill="FFFFFF" w:val="clear"/>
            <w:shd w:fill="F8F0D9"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COSMETIC — QBO uses AccountNumber + AccountName columns separately; zero impact.</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4</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BFC Fork 1 scaffolding docnames have number prefix.</w:t>
            </w:r>
          </w:p>
        </w:tc>
        <w:tc>
          <w:tcPr>
            <w:tcW w:type="dxa" w:w="2889"/>
            <w:shd w:fill="E6ECE7" w:val="clear"/>
            <w:shd w:fill="F8F0D9"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COSMETIC — same as #3.</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5</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QBO DetailType is best-effort for unmapped Frappe account_types.</w:t>
            </w:r>
          </w:p>
        </w:tc>
        <w:tc>
          <w:tcPr>
            <w:tcW w:type="dxa" w:w="2889"/>
            <w:shd w:fill="FFFFFF" w:val="clear"/>
            <w:shd w:fill="F2E5F5"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KNOWN — sandbox import surfaces rejections; iterate.</w:t>
            </w:r>
          </w:p>
        </w:tc>
      </w:tr>
    </w:tbl>
    <w:p>
      <w:pPr>
        <w:spacing w:before="0" w:after="0"/>
      </w:pPr>
      <w:r>
        <w:br w:type="page"/>
      </w:r>
    </w:p>
    <w:p/>
    <w:p>
      <w:r>
        <w:rPr>
          <w:rFonts w:ascii="Calibri" w:hAnsi="Calibri"/>
          <w:b/>
          <w:color w:val="04400A"/>
          <w:sz w:val="26"/>
        </w:rPr>
        <w:t>8.  MASTER DECISION LEDGER</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DECISIONS.md is BEI's locked policy ledger. Every COA, tax, accounting policy, P&amp;L, AR/AP, procurement, and intercompany decision is recorded with the date Butch (or Sam in supersession) confirmed it. Bridge should treat DECISIONS.md as the canonical source of truth for any "why is it set up this way?" question.</w:t>
      </w:r>
    </w:p>
    <w:p/>
    <w:p>
      <w:r>
        <w:rPr>
          <w:rFonts w:ascii="Calibri" w:hAnsi="Calibri"/>
          <w:b/>
          <w:color w:val="04400A"/>
          <w:sz w:val="26"/>
        </w:rPr>
        <w:t>Structure (sections in DECISIONS.md)</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10" w:after="10"/>
      </w:pPr>
      <w:r>
        <w:rPr>
          <w:rFonts w:ascii="Calibri" w:hAnsi="Calibri"/>
          <w:b/>
          <w:color w:val="04400A"/>
          <w:sz w:val="22"/>
        </w:rPr>
        <w:t xml:space="preserve">  •  </w:t>
      </w:r>
      <w:r>
        <w:rPr>
          <w:rFonts w:ascii="Calibri" w:hAnsi="Calibri"/>
          <w:color w:val="1A1A1A"/>
          <w:sz w:val="20"/>
        </w:rPr>
        <w:t>Company Structure</w:t>
      </w:r>
    </w:p>
    <w:p>
      <w:pPr>
        <w:spacing w:before="10" w:after="10"/>
      </w:pPr>
      <w:r>
        <w:rPr>
          <w:rFonts w:ascii="Calibri" w:hAnsi="Calibri"/>
          <w:b/>
          <w:color w:val="04400A"/>
          <w:sz w:val="22"/>
        </w:rPr>
        <w:t xml:space="preserve">  •  </w:t>
      </w:r>
      <w:r>
        <w:rPr>
          <w:rFonts w:ascii="Calibri" w:hAnsi="Calibri"/>
          <w:color w:val="1A1A1A"/>
          <w:sz w:val="20"/>
        </w:rPr>
        <w:t>Chart of Accounts (COA-001..010 + COA-175-001..030)</w:t>
      </w:r>
    </w:p>
    <w:p>
      <w:pPr>
        <w:spacing w:before="10" w:after="10"/>
      </w:pPr>
      <w:r>
        <w:rPr>
          <w:rFonts w:ascii="Calibri" w:hAnsi="Calibri"/>
          <w:b/>
          <w:color w:val="04400A"/>
          <w:sz w:val="22"/>
        </w:rPr>
        <w:t xml:space="preserve">  •  </w:t>
      </w:r>
      <w:r>
        <w:rPr>
          <w:rFonts w:ascii="Calibri" w:hAnsi="Calibri"/>
          <w:color w:val="1A1A1A"/>
          <w:sz w:val="20"/>
        </w:rPr>
        <w:t>Tax Policy (TAX-001..014)</w:t>
      </w:r>
    </w:p>
    <w:p>
      <w:pPr>
        <w:spacing w:before="10" w:after="10"/>
      </w:pPr>
      <w:r>
        <w:rPr>
          <w:rFonts w:ascii="Calibri" w:hAnsi="Calibri"/>
          <w:b/>
          <w:color w:val="04400A"/>
          <w:sz w:val="22"/>
        </w:rPr>
        <w:t xml:space="preserve">  •  </w:t>
      </w:r>
      <w:r>
        <w:rPr>
          <w:rFonts w:ascii="Calibri" w:hAnsi="Calibri"/>
          <w:color w:val="1A1A1A"/>
          <w:sz w:val="20"/>
        </w:rPr>
        <w:t>Cost Center</w:t>
      </w:r>
    </w:p>
    <w:p>
      <w:pPr>
        <w:spacing w:before="10" w:after="10"/>
      </w:pPr>
      <w:r>
        <w:rPr>
          <w:rFonts w:ascii="Calibri" w:hAnsi="Calibri"/>
          <w:b/>
          <w:color w:val="04400A"/>
          <w:sz w:val="22"/>
        </w:rPr>
        <w:t xml:space="preserve">  •  </w:t>
      </w:r>
      <w:r>
        <w:rPr>
          <w:rFonts w:ascii="Calibri" w:hAnsi="Calibri"/>
          <w:color w:val="1A1A1A"/>
          <w:sz w:val="20"/>
        </w:rPr>
        <w:t>Accounting Policy</w:t>
      </w:r>
    </w:p>
    <w:p>
      <w:pPr>
        <w:spacing w:before="10" w:after="10"/>
      </w:pPr>
      <w:r>
        <w:rPr>
          <w:rFonts w:ascii="Calibri" w:hAnsi="Calibri"/>
          <w:b/>
          <w:color w:val="04400A"/>
          <w:sz w:val="22"/>
        </w:rPr>
        <w:t xml:space="preserve">  •  </w:t>
      </w:r>
      <w:r>
        <w:rPr>
          <w:rFonts w:ascii="Calibri" w:hAnsi="Calibri"/>
          <w:color w:val="1A1A1A"/>
          <w:sz w:val="20"/>
        </w:rPr>
        <w:t>AR / Collections</w:t>
      </w:r>
    </w:p>
    <w:p>
      <w:pPr>
        <w:spacing w:before="10" w:after="10"/>
      </w:pPr>
      <w:r>
        <w:rPr>
          <w:rFonts w:ascii="Calibri" w:hAnsi="Calibri"/>
          <w:b/>
          <w:color w:val="04400A"/>
          <w:sz w:val="22"/>
        </w:rPr>
        <w:t xml:space="preserve">  •  </w:t>
      </w:r>
      <w:r>
        <w:rPr>
          <w:rFonts w:ascii="Calibri" w:hAnsi="Calibri"/>
          <w:color w:val="1A1A1A"/>
          <w:sz w:val="20"/>
        </w:rPr>
        <w:t>P&amp;L Structure</w:t>
      </w:r>
    </w:p>
    <w:p>
      <w:pPr>
        <w:spacing w:before="10" w:after="10"/>
      </w:pPr>
      <w:r>
        <w:rPr>
          <w:rFonts w:ascii="Calibri" w:hAnsi="Calibri"/>
          <w:b/>
          <w:color w:val="04400A"/>
          <w:sz w:val="22"/>
        </w:rPr>
        <w:t xml:space="preserve">  •  </w:t>
      </w:r>
      <w:r>
        <w:rPr>
          <w:rFonts w:ascii="Calibri" w:hAnsi="Calibri"/>
          <w:color w:val="1A1A1A"/>
          <w:sz w:val="20"/>
        </w:rPr>
        <w:t>RBAC &amp; Permissions</w:t>
      </w:r>
    </w:p>
    <w:p>
      <w:pPr>
        <w:spacing w:before="10" w:after="10"/>
      </w:pPr>
      <w:r>
        <w:rPr>
          <w:rFonts w:ascii="Calibri" w:hAnsi="Calibri"/>
          <w:b/>
          <w:color w:val="04400A"/>
          <w:sz w:val="22"/>
        </w:rPr>
        <w:t xml:space="preserve">  •  </w:t>
      </w:r>
      <w:r>
        <w:rPr>
          <w:rFonts w:ascii="Calibri" w:hAnsi="Calibri"/>
          <w:color w:val="1A1A1A"/>
          <w:sz w:val="20"/>
        </w:rPr>
        <w:t>Gap Engineering</w:t>
      </w:r>
    </w:p>
    <w:p>
      <w:pPr>
        <w:spacing w:before="10" w:after="10"/>
      </w:pPr>
      <w:r>
        <w:rPr>
          <w:rFonts w:ascii="Calibri" w:hAnsi="Calibri"/>
          <w:b/>
          <w:color w:val="04400A"/>
          <w:sz w:val="22"/>
        </w:rPr>
        <w:t xml:space="preserve">  •  </w:t>
      </w:r>
      <w:r>
        <w:rPr>
          <w:rFonts w:ascii="Calibri" w:hAnsi="Calibri"/>
          <w:color w:val="1A1A1A"/>
          <w:sz w:val="20"/>
        </w:rPr>
        <w:t>Billing &amp; Franchise Fees</w:t>
      </w:r>
    </w:p>
    <w:p>
      <w:pPr>
        <w:spacing w:before="10" w:after="10"/>
      </w:pPr>
      <w:r>
        <w:rPr>
          <w:rFonts w:ascii="Calibri" w:hAnsi="Calibri"/>
          <w:b/>
          <w:color w:val="04400A"/>
          <w:sz w:val="22"/>
        </w:rPr>
        <w:t xml:space="preserve">  •  </w:t>
      </w:r>
      <w:r>
        <w:rPr>
          <w:rFonts w:ascii="Calibri" w:hAnsi="Calibri"/>
          <w:color w:val="1A1A1A"/>
          <w:sz w:val="20"/>
        </w:rPr>
        <w:t>Inter-Company Transactions (BKI ↔ BEI)</w:t>
      </w:r>
    </w:p>
    <w:p>
      <w:pPr>
        <w:spacing w:before="10" w:after="10"/>
      </w:pPr>
      <w:r>
        <w:rPr>
          <w:rFonts w:ascii="Calibri" w:hAnsi="Calibri"/>
          <w:b/>
          <w:color w:val="04400A"/>
          <w:sz w:val="22"/>
        </w:rPr>
        <w:t xml:space="preserve">  •  </w:t>
      </w:r>
      <w:r>
        <w:rPr>
          <w:rFonts w:ascii="Calibri" w:hAnsi="Calibri"/>
          <w:color w:val="1A1A1A"/>
          <w:sz w:val="20"/>
        </w:rPr>
        <w:t>Procurement &amp; AP Controls</w:t>
      </w:r>
    </w:p>
    <w:p>
      <w:pPr>
        <w:spacing w:before="10" w:after="10"/>
      </w:pPr>
      <w:r>
        <w:rPr>
          <w:rFonts w:ascii="Calibri" w:hAnsi="Calibri"/>
          <w:b/>
          <w:color w:val="04400A"/>
          <w:sz w:val="22"/>
        </w:rPr>
        <w:t xml:space="preserve">  •  </w:t>
      </w:r>
      <w:r>
        <w:rPr>
          <w:rFonts w:ascii="Calibri" w:hAnsi="Calibri"/>
          <w:color w:val="1A1A1A"/>
          <w:sz w:val="20"/>
        </w:rPr>
        <w:t>Revenue Recognition &amp; SOA</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REFERENCE FILE in Drive</w:t>
            </w:r>
          </w:p>
          <w:p>
            <w:pPr>
              <w:spacing w:before="0" w:after="60"/>
            </w:pPr>
            <w:r>
              <w:rPr>
                <w:rFonts w:ascii="Calibri" w:hAnsi="Calibri"/>
                <w:sz w:val="20"/>
              </w:rPr>
              <w:t>DECISIONS.md (uploaded as Google Doc — comment / search / cross-reference live). 27 COA-175 rows + 10 COA + 14 TAX + ~30 cross-cutting decisions.</w:t>
            </w:r>
          </w:p>
        </w:tc>
      </w:tr>
    </w:tbl>
    <w:p>
      <w:pPr>
        <w:spacing w:before="0" w:after="0"/>
      </w:pPr>
      <w:r>
        <w:br w:type="page"/>
      </w:r>
    </w:p>
    <w:p/>
    <w:p>
      <w:r>
        <w:rPr>
          <w:rFonts w:ascii="Calibri" w:hAnsi="Calibri"/>
          <w:b/>
          <w:color w:val="04400A"/>
          <w:sz w:val="26"/>
        </w:rPr>
        <w:t>9.  WHAT BRIDGE NEEDS FROM APEX (NOT BEI)</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BEI ships Bridge the TARGET COA structure (this pack). Bridge gets the historical transactional data from APEX directly — the BEI accounting team / Anna R. at Bridge already has that access from the 2026-06-01 turnover. Below is what Bridge needs to pull from APEX to populate the new QBO companies.</w:t>
      </w:r>
    </w:p>
    <w:p>
      <w:pPr>
        <w:spacing w:before="30" w:after="10"/>
      </w:pPr>
      <w:r>
        <w:rPr>
          <w:rFonts w:ascii="Calibri" w:hAnsi="Calibri"/>
          <w:b/>
          <w:color w:val="04400A"/>
          <w:sz w:val="24"/>
        </w:rPr>
        <w:t xml:space="preserve">  ●  </w:t>
      </w:r>
      <w:r>
        <w:rPr>
          <w:rFonts w:ascii="Calibri" w:hAnsi="Calibri"/>
          <w:b/>
          <w:color w:val="1A1A1A"/>
          <w:sz w:val="22"/>
        </w:rPr>
        <w:t>Opening Balances (CRITICAL for cutover)</w:t>
      </w:r>
    </w:p>
    <w:p>
      <w:r>
        <w:rPr>
          <w:rFonts w:ascii="Calibri" w:hAnsi="Calibri"/>
        </w:rPr>
        <w:t>Per-Company trial balance at the cutover date. Source: APEX P&amp;L + Balance Sheet as of cutover. Map each Apex account → canonical name via migration_map_*.csv, then load opening balances into QBO.</w:t>
      </w:r>
    </w:p>
    <w:p>
      <w:pPr>
        <w:spacing w:before="30" w:after="10"/>
      </w:pPr>
      <w:r>
        <w:rPr>
          <w:rFonts w:ascii="Calibri" w:hAnsi="Calibri"/>
          <w:b/>
          <w:color w:val="04400A"/>
          <w:sz w:val="24"/>
        </w:rPr>
        <w:t xml:space="preserve">  ●  </w:t>
      </w:r>
      <w:r>
        <w:rPr>
          <w:rFonts w:ascii="Calibri" w:hAnsi="Calibri"/>
          <w:b/>
          <w:color w:val="1A1A1A"/>
          <w:sz w:val="22"/>
        </w:rPr>
        <w:t>AR Aging Snapshot</w:t>
      </w:r>
    </w:p>
    <w:p>
      <w:r>
        <w:rPr>
          <w:rFonts w:ascii="Calibri" w:hAnsi="Calibri"/>
        </w:rPr>
        <w:t>Per-Company AR aging from APEX as of cutover date. Map customers → QBO Customers (use the BEI Customer master per Company).</w:t>
      </w:r>
    </w:p>
    <w:p>
      <w:pPr>
        <w:spacing w:before="30" w:after="10"/>
      </w:pPr>
      <w:r>
        <w:rPr>
          <w:rFonts w:ascii="Calibri" w:hAnsi="Calibri"/>
          <w:b/>
          <w:color w:val="04400A"/>
          <w:sz w:val="24"/>
        </w:rPr>
        <w:t xml:space="preserve">  ●  </w:t>
      </w:r>
      <w:r>
        <w:rPr>
          <w:rFonts w:ascii="Calibri" w:hAnsi="Calibri"/>
          <w:b/>
          <w:color w:val="1A1A1A"/>
          <w:sz w:val="22"/>
        </w:rPr>
        <w:t>AP Aging Snapshot</w:t>
      </w:r>
    </w:p>
    <w:p>
      <w:r>
        <w:rPr>
          <w:rFonts w:ascii="Calibri" w:hAnsi="Calibri"/>
        </w:rPr>
        <w:t>Per-Company AP aging from APEX. Map suppliers → QBO Vendors. Note that BEI runs the Procurement AppSheet with payment terms tracked separately — confirm with Anna.</w:t>
      </w:r>
    </w:p>
    <w:p>
      <w:pPr>
        <w:spacing w:before="30" w:after="10"/>
      </w:pPr>
      <w:r>
        <w:rPr>
          <w:rFonts w:ascii="Calibri" w:hAnsi="Calibri"/>
          <w:b/>
          <w:color w:val="04400A"/>
          <w:sz w:val="24"/>
        </w:rPr>
        <w:t xml:space="preserve">  ●  </w:t>
      </w:r>
      <w:r>
        <w:rPr>
          <w:rFonts w:ascii="Calibri" w:hAnsi="Calibri"/>
          <w:b/>
          <w:color w:val="1A1A1A"/>
          <w:sz w:val="22"/>
        </w:rPr>
        <w:t>Bank Balances</w:t>
      </w:r>
    </w:p>
    <w:p>
      <w:r>
        <w:rPr>
          <w:rFonts w:ascii="Calibri" w:hAnsi="Calibri"/>
        </w:rPr>
        <w:t>Per-Company bank balances from APEX. Match each Apex bank account to canonical `1101100 - Cash on Hand` / `1101105 - UNIONBANK` / etc.</w:t>
      </w:r>
    </w:p>
    <w:p>
      <w:pPr>
        <w:spacing w:before="30" w:after="10"/>
      </w:pPr>
      <w:r>
        <w:rPr>
          <w:rFonts w:ascii="Calibri" w:hAnsi="Calibri"/>
          <w:b/>
          <w:color w:val="04400A"/>
          <w:sz w:val="24"/>
        </w:rPr>
        <w:t xml:space="preserve">  ●  </w:t>
      </w:r>
      <w:r>
        <w:rPr>
          <w:rFonts w:ascii="Calibri" w:hAnsi="Calibri"/>
          <w:b/>
          <w:color w:val="1A1A1A"/>
          <w:sz w:val="22"/>
        </w:rPr>
        <w:t>Inventory Valuation</w:t>
      </w:r>
    </w:p>
    <w:p>
      <w:r>
        <w:rPr>
          <w:rFonts w:ascii="Calibri" w:hAnsi="Calibri"/>
        </w:rPr>
        <w:t>BKI commissary + per-store inventory at cutover. Frappe will run Stock Reconciliation post-cutover; QBO can mirror via Other Current Asset / Inventory category.</w:t>
      </w:r>
    </w:p>
    <w:p>
      <w:pPr>
        <w:spacing w:before="30" w:after="10"/>
      </w:pPr>
      <w:r>
        <w:rPr>
          <w:rFonts w:ascii="Calibri" w:hAnsi="Calibri"/>
          <w:b/>
          <w:color w:val="04400A"/>
          <w:sz w:val="24"/>
        </w:rPr>
        <w:t xml:space="preserve">  ●  </w:t>
      </w:r>
      <w:r>
        <w:rPr>
          <w:rFonts w:ascii="Calibri" w:hAnsi="Calibri"/>
          <w:b/>
          <w:color w:val="1A1A1A"/>
          <w:sz w:val="22"/>
        </w:rPr>
        <w:t>Fixed Asset Schedule</w:t>
      </w:r>
    </w:p>
    <w:p>
      <w:r>
        <w:rPr>
          <w:rFonts w:ascii="Calibri" w:hAnsi="Calibri"/>
        </w:rPr>
        <w:t>PPE schedule per Company from APEX. Map to `Fixed Asset - &lt;ABBR&gt;` group in QBO.</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WHY THIS COMES FROM APEX, NOT BEI</w:t>
            </w:r>
          </w:p>
          <w:p>
            <w:pPr>
              <w:spacing w:before="0" w:after="60"/>
            </w:pPr>
            <w:r>
              <w:rPr>
                <w:rFonts w:ascii="Calibri" w:hAnsi="Calibri"/>
                <w:sz w:val="18"/>
              </w:rPr>
              <w:t>Frappe has structural definitions but no historical operational data (the BKI→store paired-doc work in early 2026 generated test transactions only, not real ops). APEX is the system of record for historical BEI transactions through cutover. Anna R. (anna.r@bridge-ph.com) has APEX access via the 2025 Apex Turnover folder.</w:t>
            </w:r>
          </w:p>
        </w:tc>
      </w:tr>
    </w:tbl>
    <w:p>
      <w:pPr>
        <w:spacing w:before="0" w:after="0"/>
      </w:pPr>
      <w:r>
        <w:br w:type="page"/>
      </w:r>
    </w:p>
    <w:p/>
    <w:p>
      <w:r>
        <w:rPr>
          <w:rFonts w:ascii="Calibri" w:hAnsi="Calibri"/>
          <w:b/>
          <w:color w:val="04400A"/>
          <w:sz w:val="26"/>
        </w:rPr>
        <w:t>10.  QBO SETUP CHECKLIST — Step-by-Step</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Work through these steps in order. Each step links to the relevant reference file in your Drive folder. Tick the checkboxes as you go — this becomes the audit trail.</w:t>
      </w:r>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1</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Create 58 QBO Companies</w:t>
            </w:r>
          </w:p>
        </w:tc>
      </w:tr>
    </w:tbl>
    <w:p>
      <w:r>
        <w:rPr>
          <w:rFonts w:ascii="Calibri" w:hAnsi="Calibri"/>
        </w:rPr>
        <w:t>One QBO Company per Frappe Company. Use the ABBR as QBO short-name. Source: All 58 Companies sheet of COMPANY_REGISTER.xlsx. Set each Company's currency = PHP, fiscal year = calendar. Use BIR TIN + RDO from the register.</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2</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Import the per-Company COA CSVs</w:t>
            </w:r>
          </w:p>
        </w:tc>
      </w:tr>
    </w:tbl>
    <w:p>
      <w:r>
        <w:rPr>
          <w:rFonts w:ascii="Calibri" w:hAnsi="Calibri"/>
        </w:rPr>
        <w:t>Unzip per_company_coa.zip → 58 CSVs. Import each CSV into the matching QBO Company. QBO will create accounts respecting the ParentAccount hierarchy. Expected: 6,928 active accounts total (range per Company: 19 for fresh stubs, ~336 for BEI).</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3</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Verify Frappe → QBO type map on 3 anchor Companies first</w:t>
            </w:r>
          </w:p>
        </w:tc>
      </w:tr>
    </w:tbl>
    <w:p>
      <w:r>
        <w:rPr>
          <w:rFonts w:ascii="Calibri" w:hAnsi="Calibri"/>
        </w:rPr>
        <w:t>Validate import on BEI (Head Office), BKI (Commissary), BFC (Franchisor) before doing the other 55. Use Sheet 3 of master_reconciliation.xlsx to confirm AccountType + DetailType. Surface any DetailType rejections to Sam.</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4</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Set up Tax Codes (VAT 12% + EWT)</w:t>
            </w:r>
          </w:p>
        </w:tc>
      </w:tr>
    </w:tbl>
    <w:p>
      <w:r>
        <w:rPr>
          <w:rFonts w:ascii="Calibri" w:hAnsi="Calibri"/>
        </w:rPr>
        <w:t>Create QBO Tax Codes: VAT-12 (standard), VAT-0 (zero-rated), VAT-Exempt. EWT codes per Section 4 table (WI050, WI051, WC050, WC051, WI100, WC100). Each Tax Code maps to the canonical Input/Output VAT account.</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5</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Configure intercompany clearing accounts</w:t>
            </w:r>
          </w:p>
        </w:tc>
      </w:tr>
    </w:tbl>
    <w:p>
      <w:r>
        <w:rPr>
          <w:rFonts w:ascii="Calibri" w:hAnsi="Calibri"/>
        </w:rPr>
        <w:t>Verify the Fork 1 scaffolding is live in QBO: 2104200 DUE TO BFC - BEI on BEI; 1104200 DUE FROM BEI - BFC + 2102205 OUTPUT VAT - BFC on BFC. Mark these as Intercompany category for QBO consolidation.</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6</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Apply Opening Balances from APEX</w:t>
            </w:r>
          </w:p>
        </w:tc>
      </w:tr>
    </w:tbl>
    <w:p>
      <w:r>
        <w:rPr>
          <w:rFonts w:ascii="Calibri" w:hAnsi="Calibri"/>
        </w:rPr>
        <w:t>Per Section 9 — pull APEX trial balance per Company, translate via migration_map CSVs, load OBs into QBO using Journal Entry with `Opening Balance Equity` as the offset. Date OB JEs at the cutover date.</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7</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Import historical transactions using migration maps</w:t>
            </w:r>
          </w:p>
        </w:tc>
      </w:tr>
    </w:tbl>
    <w:p>
      <w:r>
        <w:rPr>
          <w:rFonts w:ascii="Calibri" w:hAnsi="Calibri"/>
        </w:rPr>
        <w:t>From APEX, export transactions per Company. Apply the appropriate migration_map_BEI.csv / BKI.csv / III.csv to translate account names. For the 49 store Companies + BFC + BFT + 4 stubs, accounts are already canonical (no translation needed).</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8</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Reconcile QBO P&amp;L vs Frappe P&amp;L (when Frappe goes live)</w:t>
            </w:r>
          </w:p>
        </w:tc>
      </w:tr>
    </w:tbl>
    <w:p>
      <w:r>
        <w:rPr>
          <w:rFonts w:ascii="Calibri" w:hAnsi="Calibri"/>
        </w:rPr>
        <w:t>Once Frappe is operationally live, run side-by-side P&amp;L for both systems for the first month. Investigate any line variance &gt; PHP 100 per Company. Sam to chair the reconciliation review weekly until variance &lt; 1%.</w:t>
      </w:r>
    </w:p>
    <w:p/>
    <w:tbl>
      <w:tblPr>
        <w:tblW w:type="auto" w:w="0"/>
        <w:jc w:val="left"/>
        <w:tblLayout w:type="fixed"/>
        <w:tblLook w:firstColumn="1" w:firstRow="1" w:lastColumn="0" w:lastRow="0" w:noHBand="0" w:noVBand="1" w:val="04A0"/>
      </w:tblPr>
      <w:tblGrid>
        <w:gridCol w:w="864"/>
        <w:gridCol w:w="8640"/>
      </w:tblGrid>
      <w:tr>
        <w:tc>
          <w:tcPr>
            <w:tcW w:type="dxa" w:w="864"/>
            <w:shd w:fill="04400A" w:val="clear"/>
            <w:tcBorders>
              <w:top w:val="single" w:sz="4" w:color="04400A"/>
              <w:left w:val="single" w:sz="4" w:color="04400A"/>
              <w:bottom w:val="single" w:sz="4" w:color="04400A"/>
              <w:right w:val="single" w:sz="4" w:color="04400A"/>
            </w:tcBorders>
            <w:tcMar>
              <w:top w:w="120" w:type="dxa"/>
              <w:bottom w:w="120" w:type="dxa"/>
              <w:start w:w="60" w:type="dxa"/>
              <w:end w:w="60" w:type="dxa"/>
            </w:tcMar>
          </w:tcPr>
          <w:p>
            <w:pPr>
              <w:jc w:val="center"/>
            </w:pPr>
            <w:r/>
            <w:r>
              <w:rPr>
                <w:rFonts w:ascii="Calibri" w:hAnsi="Calibri"/>
                <w:b/>
                <w:color w:val="FFFFFF"/>
                <w:sz w:val="32"/>
              </w:rPr>
              <w:t>9</w:t>
            </w:r>
          </w:p>
        </w:tc>
        <w:tc>
          <w:tcPr>
            <w:tcW w:type="dxa" w:w="8640"/>
            <w:shd w:fill="E6ECE7" w:val="clear"/>
            <w:tcBorders>
              <w:top w:val="single" w:sz="4" w:color="C8900A"/>
              <w:left w:val="single" w:sz="4" w:color="C8900A"/>
              <w:bottom w:val="single" w:sz="4" w:color="C8900A"/>
              <w:right w:val="single" w:sz="4" w:color="C8900A"/>
            </w:tcBorders>
            <w:tcMar>
              <w:top w:w="120" w:type="dxa"/>
              <w:bottom w:w="120" w:type="dxa"/>
              <w:start w:w="200" w:type="dxa"/>
              <w:end w:w="120" w:type="dxa"/>
            </w:tcMar>
          </w:tcPr>
          <w:p>
            <w:r/>
            <w:r>
              <w:rPr>
                <w:rFonts w:ascii="Calibri" w:hAnsi="Calibri"/>
                <w:b/>
                <w:color w:val="04400A"/>
                <w:sz w:val="24"/>
              </w:rPr>
              <w:t>Sign-off (SIGNOFF.docx)</w:t>
            </w:r>
          </w:p>
        </w:tc>
      </w:tr>
    </w:tbl>
    <w:p>
      <w:r>
        <w:rPr>
          <w:rFonts w:ascii="Calibri" w:hAnsi="Calibri"/>
        </w:rPr>
        <w:t>When all 58 QBO Companies are confirmed mirroring Frappe + opening balances loaded + first month reconciled, Bridge countersigns SIGNOFF.docx (or its Google Doc copy). Sam Karazi (CEO) provides BEI sign-off.</w:t>
      </w:r>
    </w:p>
    <w:p/>
    <w:p>
      <w:pPr>
        <w:spacing w:before="0" w:after="0"/>
      </w:pPr>
      <w:r>
        <w:br w:type="page"/>
      </w:r>
    </w:p>
    <w:p/>
    <w:p>
      <w:r>
        <w:rPr>
          <w:rFonts w:ascii="Calibri" w:hAnsi="Calibri"/>
          <w:b/>
          <w:color w:val="04400A"/>
          <w:sz w:val="26"/>
        </w:rPr>
        <w:t>11.  REFERENCE FILE INDEX — All Drive Links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All files are in the BEI COA Handoff Drive folder. The 4 @bridge-ph.com Editor accounts (Anna R., Kim C., Flor A., accountant.outsource) have full access.</w:t>
      </w:r>
    </w:p>
    <w:p>
      <w:pPr>
        <w:spacing w:before="20" w:after="20"/>
      </w:pPr>
      <w:r>
        <w:rPr>
          <w:rFonts w:ascii="Calibri" w:hAnsi="Calibri"/>
          <w:b/>
          <w:color w:val="04400A"/>
          <w:sz w:val="22"/>
        </w:rPr>
        <w:t>BEI COA Handoff Drive folder</w:t>
      </w:r>
    </w:p>
    <w:p>
      <w:pPr>
        <w:spacing w:before="0" w:after="20"/>
      </w:pPr>
      <w:hyperlink r:id="rId10">
        <w:r>
          <w:rPr>
            <w:rFonts w:ascii="Calibri" w:hAnsi="Calibri"/>
            <w:color w:val="04400A"/>
            <w:sz w:val="20"/>
            <w:u w:val="single"/>
          </w:rPr>
          <w:t>https://drive.google.com/drive/folders/1GnrFKICFYN6xz9IKeAFCM0xYtFN02OcE</w:t>
        </w:r>
      </w:hyperlink>
    </w:p>
    <w:p>
      <w:pPr>
        <w:spacing w:before="200" w:after="80"/>
      </w:pPr>
      <w:r>
        <w:rPr>
          <w:rFonts w:ascii="Calibri" w:hAnsi="Calibri"/>
          <w:b/>
          <w:color w:val="C8900A"/>
          <w:sz w:val="22"/>
        </w:rPr>
        <w:t>Native files (authoritative — for QBO import + signing)</w:t>
      </w:r>
    </w:p>
    <w:p>
      <w:pPr>
        <w:spacing w:before="20" w:after="20"/>
      </w:pPr>
      <w:r>
        <w:rPr>
          <w:rFonts w:ascii="Calibri" w:hAnsi="Calibri"/>
          <w:color w:val="04400A"/>
        </w:rPr>
        <w:t xml:space="preserve">  •  </w:t>
      </w:r>
      <w:r>
        <w:rPr>
          <w:rFonts w:ascii="Calibri" w:hAnsi="Calibri"/>
          <w:color w:val="1A1A1A"/>
          <w:sz w:val="20"/>
        </w:rPr>
        <w:t xml:space="preserve">per_company_coa.zip — 58 CSVs for QBO import: </w:t>
      </w:r>
      <w:hyperlink r:id="rId11">
        <w:r>
          <w:rPr>
            <w:rFonts w:ascii="Calibri" w:hAnsi="Calibri"/>
            <w:color w:val="04400A"/>
            <w:sz w:val="18"/>
            <w:u w:val="single"/>
          </w:rPr>
          <w:t>https://drive.google.com/file/d/1yBidpnZaKF5b8gjxXwOB9DoKtAfEKiUN/view?usp=drivesdk</w:t>
        </w:r>
      </w:hyperlink>
    </w:p>
    <w:p>
      <w:pPr>
        <w:spacing w:before="20" w:after="20"/>
      </w:pPr>
      <w:r>
        <w:rPr>
          <w:rFonts w:ascii="Calibri" w:hAnsi="Calibri"/>
          <w:color w:val="04400A"/>
        </w:rPr>
        <w:t xml:space="preserve">  •  </w:t>
      </w:r>
      <w:r>
        <w:rPr>
          <w:rFonts w:ascii="Calibri" w:hAnsi="Calibri"/>
          <w:color w:val="1A1A1A"/>
          <w:sz w:val="20"/>
        </w:rPr>
        <w:t xml:space="preserve">COMPANY_REGISTER.xlsx — 58 Companies with role + TIN + RDO: </w:t>
      </w:r>
      <w:r>
        <w:rPr>
          <w:rFonts w:ascii="Calibri" w:hAnsi="Calibri"/>
          <w:i/>
          <w:color w:val="666666"/>
          <w:sz w:val="18"/>
        </w:rPr>
        <w:t>(uploaded with this pack)</w:t>
      </w:r>
    </w:p>
    <w:p>
      <w:pPr>
        <w:spacing w:before="20" w:after="20"/>
      </w:pPr>
      <w:r>
        <w:rPr>
          <w:rFonts w:ascii="Calibri" w:hAnsi="Calibri"/>
          <w:color w:val="04400A"/>
        </w:rPr>
        <w:t xml:space="preserve">  •  </w:t>
      </w:r>
      <w:r>
        <w:rPr>
          <w:rFonts w:ascii="Calibri" w:hAnsi="Calibri"/>
          <w:color w:val="1A1A1A"/>
          <w:sz w:val="20"/>
        </w:rPr>
        <w:t xml:space="preserve">master_reconciliation.xlsx — 5-sheet BEI workbook: </w:t>
      </w:r>
      <w:hyperlink r:id="rId12">
        <w:r>
          <w:rPr>
            <w:rFonts w:ascii="Calibri" w:hAnsi="Calibri"/>
            <w:color w:val="04400A"/>
            <w:sz w:val="18"/>
            <w:u w:val="single"/>
          </w:rPr>
          <w:t>https://docs.google.com/spreadsheets/d/1KZ1xeIIKiHPHRg_KOXVJy3Eq0d1wK3ph/edit?usp=drivesdk&amp;ouid=115141803777443372092&amp;rtpof=true&amp;sd=true</w:t>
        </w:r>
      </w:hyperlink>
    </w:p>
    <w:p>
      <w:pPr>
        <w:spacing w:before="20" w:after="20"/>
      </w:pPr>
      <w:r>
        <w:rPr>
          <w:rFonts w:ascii="Calibri" w:hAnsi="Calibri"/>
          <w:color w:val="04400A"/>
        </w:rPr>
        <w:t xml:space="preserve">  •  </w:t>
      </w:r>
      <w:r>
        <w:rPr>
          <w:rFonts w:ascii="Calibri" w:hAnsi="Calibri"/>
          <w:color w:val="1A1A1A"/>
          <w:sz w:val="20"/>
        </w:rPr>
        <w:t xml:space="preserve">SIGNOFF.docx — BEI-branded sign-off document: </w:t>
      </w:r>
      <w:hyperlink r:id="rId13">
        <w:r>
          <w:rPr>
            <w:rFonts w:ascii="Calibri" w:hAnsi="Calibri"/>
            <w:color w:val="04400A"/>
            <w:sz w:val="18"/>
            <w:u w:val="single"/>
          </w:rPr>
          <w:t>https://docs.google.com/document/d/1T5QmwXy-65BwL2KrGKo5NOC3_i9TXEIH/edit?usp=drivesdk&amp;ouid=115141803777443372092&amp;rtpof=true&amp;sd=true</w:t>
        </w:r>
      </w:hyperlink>
    </w:p>
    <w:p>
      <w:pPr>
        <w:spacing w:before="20" w:after="20"/>
      </w:pPr>
      <w:r>
        <w:rPr>
          <w:rFonts w:ascii="Calibri" w:hAnsi="Calibri"/>
          <w:color w:val="04400A"/>
        </w:rPr>
        <w:t xml:space="preserve">  •  </w:t>
      </w:r>
      <w:r>
        <w:rPr>
          <w:rFonts w:ascii="Calibri" w:hAnsi="Calibri"/>
          <w:color w:val="1A1A1A"/>
          <w:sz w:val="20"/>
        </w:rPr>
        <w:t xml:space="preserve">coa_export_zip_manifest.csv — SHA-256 + counts: </w:t>
      </w:r>
      <w:hyperlink r:id="rId14">
        <w:r>
          <w:rPr>
            <w:rFonts w:ascii="Calibri" w:hAnsi="Calibri"/>
            <w:color w:val="04400A"/>
            <w:sz w:val="18"/>
            <w:u w:val="single"/>
          </w:rPr>
          <w:t>https://drive.google.com/file/d/1LU4peb6ExnqWwbcNGKQ-dpe0jVYmcNig/view?usp=drivesdk</w:t>
        </w:r>
      </w:hyperlink>
    </w:p>
    <w:p>
      <w:pPr>
        <w:spacing w:before="20" w:after="20"/>
      </w:pPr>
      <w:r>
        <w:rPr>
          <w:rFonts w:ascii="Calibri" w:hAnsi="Calibri"/>
          <w:color w:val="04400A"/>
        </w:rPr>
        <w:t xml:space="preserve">  •  </w:t>
      </w:r>
      <w:r>
        <w:rPr>
          <w:rFonts w:ascii="Calibri" w:hAnsi="Calibri"/>
          <w:color w:val="1A1A1A"/>
          <w:sz w:val="20"/>
        </w:rPr>
        <w:t xml:space="preserve">upload_manifest.json — file integrity: </w:t>
      </w:r>
      <w:hyperlink r:id="rId15">
        <w:r>
          <w:rPr>
            <w:rFonts w:ascii="Calibri" w:hAnsi="Calibri"/>
            <w:color w:val="04400A"/>
            <w:sz w:val="18"/>
            <w:u w:val="single"/>
          </w:rPr>
          <w:t>https://drive.google.com/file/d/19aRaLmJyfy7hvH7lUgNwY5Dx_N9cZgHR/view?usp=drivesdk</w:t>
        </w:r>
      </w:hyperlink>
    </w:p>
    <w:p>
      <w:pPr>
        <w:spacing w:before="200" w:after="80"/>
      </w:pPr>
      <w:r>
        <w:rPr>
          <w:rFonts w:ascii="Calibri" w:hAnsi="Calibri"/>
          <w:b/>
          <w:color w:val="C8900A"/>
          <w:sz w:val="22"/>
        </w:rPr>
        <w:t>Google-format mirrors (for Bridge to comment / edit)</w:t>
      </w:r>
    </w:p>
    <w:p>
      <w:pPr>
        <w:spacing w:before="20" w:after="20"/>
      </w:pPr>
      <w:r>
        <w:rPr>
          <w:rFonts w:ascii="Calibri" w:hAnsi="Calibri"/>
          <w:color w:val="04400A"/>
        </w:rPr>
        <w:t xml:space="preserve">  •  </w:t>
      </w:r>
      <w:r>
        <w:rPr>
          <w:rFonts w:ascii="Calibri" w:hAnsi="Calibri"/>
          <w:color w:val="1A1A1A"/>
          <w:sz w:val="20"/>
        </w:rPr>
        <w:t xml:space="preserve">master_reconciliation (Google Sheets): </w:t>
      </w:r>
      <w:hyperlink r:id="rId16">
        <w:r>
          <w:rPr>
            <w:rFonts w:ascii="Calibri" w:hAnsi="Calibri"/>
            <w:color w:val="04400A"/>
            <w:sz w:val="18"/>
            <w:u w:val="single"/>
          </w:rPr>
          <w:t>https://docs.google.com/spreadsheets/d/1OBcaG1kxFb35VsadN2cLhXmlWFIt-Ll9XjKeCUGAZms/edit?usp=drivesdk</w:t>
        </w:r>
      </w:hyperlink>
    </w:p>
    <w:p>
      <w:pPr>
        <w:spacing w:before="20" w:after="20"/>
      </w:pPr>
      <w:r>
        <w:rPr>
          <w:rFonts w:ascii="Calibri" w:hAnsi="Calibri"/>
          <w:color w:val="04400A"/>
        </w:rPr>
        <w:t xml:space="preserve">  •  </w:t>
      </w:r>
      <w:r>
        <w:rPr>
          <w:rFonts w:ascii="Calibri" w:hAnsi="Calibri"/>
          <w:color w:val="1A1A1A"/>
          <w:sz w:val="20"/>
        </w:rPr>
        <w:t xml:space="preserve">SIGNOFF (Google Doc): </w:t>
      </w:r>
      <w:hyperlink r:id="rId17">
        <w:r>
          <w:rPr>
            <w:rFonts w:ascii="Calibri" w:hAnsi="Calibri"/>
            <w:color w:val="04400A"/>
            <w:sz w:val="18"/>
            <w:u w:val="single"/>
          </w:rPr>
          <w:t>https://docs.google.com/document/d/1MELen0KfU4Hp6jX-yDpOAzRtUKp11cDui5lyn-tjIRM/edit?usp=drivesdk</w:t>
        </w:r>
      </w:hyperlink>
    </w:p>
    <w:p>
      <w:pPr>
        <w:spacing w:before="20" w:after="20"/>
      </w:pPr>
      <w:r>
        <w:rPr>
          <w:rFonts w:ascii="Calibri" w:hAnsi="Calibri"/>
          <w:color w:val="04400A"/>
        </w:rPr>
        <w:t xml:space="preserve">  •  </w:t>
      </w:r>
      <w:r>
        <w:rPr>
          <w:rFonts w:ascii="Calibri" w:hAnsi="Calibri"/>
          <w:color w:val="1A1A1A"/>
          <w:sz w:val="20"/>
        </w:rPr>
        <w:t xml:space="preserve">validation (Google Doc) — import readiness: </w:t>
      </w:r>
      <w:hyperlink r:id="rId18">
        <w:r>
          <w:rPr>
            <w:rFonts w:ascii="Calibri" w:hAnsi="Calibri"/>
            <w:color w:val="04400A"/>
            <w:sz w:val="18"/>
            <w:u w:val="single"/>
          </w:rPr>
          <w:t>https://docs.google.com/document/d/1Jnq3SFD-jAik3EFHLPfFYch6cs-7Q0UfYFvcyjviEy8/edit?usp=drivesdk</w:t>
        </w:r>
      </w:hyperlink>
    </w:p>
    <w:p>
      <w:pPr>
        <w:spacing w:before="20" w:after="20"/>
      </w:pPr>
      <w:r>
        <w:rPr>
          <w:rFonts w:ascii="Calibri" w:hAnsi="Calibri"/>
          <w:color w:val="04400A"/>
        </w:rPr>
        <w:t xml:space="preserve">  •  </w:t>
      </w:r>
      <w:r>
        <w:rPr>
          <w:rFonts w:ascii="Calibri" w:hAnsi="Calibri"/>
          <w:color w:val="1A1A1A"/>
          <w:sz w:val="20"/>
        </w:rPr>
        <w:t xml:space="preserve">BRIDGE_READINESS_ASSESSMENT (Google Doc) — 35-point fact-check: </w:t>
      </w:r>
      <w:hyperlink r:id="rId19">
        <w:r>
          <w:rPr>
            <w:rFonts w:ascii="Calibri" w:hAnsi="Calibri"/>
            <w:color w:val="04400A"/>
            <w:sz w:val="18"/>
            <w:u w:val="single"/>
          </w:rPr>
          <w:t>https://docs.google.com/document/d/1Snw056nnWsCaHrqWeoc-KjPX7QvsLzlkN3pZTNSOcoI/edit?usp=drivesdk</w:t>
        </w:r>
      </w:hyperlink>
    </w:p>
    <w:p>
      <w:pPr>
        <w:spacing w:before="20" w:after="20"/>
      </w:pPr>
      <w:r>
        <w:rPr>
          <w:rFonts w:ascii="Calibri" w:hAnsi="Calibri"/>
          <w:color w:val="04400A"/>
        </w:rPr>
        <w:t xml:space="preserve">  •  </w:t>
      </w:r>
      <w:r>
        <w:rPr>
          <w:rFonts w:ascii="Calibri" w:hAnsi="Calibri"/>
          <w:color w:val="1A1A1A"/>
          <w:sz w:val="20"/>
        </w:rPr>
        <w:t xml:space="preserve">WALKTHROUGH (this document, as Google Doc): </w:t>
      </w:r>
      <w:r>
        <w:rPr>
          <w:rFonts w:ascii="Calibri" w:hAnsi="Calibri"/>
          <w:i/>
          <w:color w:val="666666"/>
          <w:sz w:val="18"/>
        </w:rPr>
        <w:t>(uploaded next)</w:t>
      </w:r>
    </w:p>
    <w:p>
      <w:pPr>
        <w:spacing w:before="200" w:after="80"/>
      </w:pPr>
      <w:r>
        <w:rPr>
          <w:rFonts w:ascii="Calibri" w:hAnsi="Calibri"/>
          <w:b/>
          <w:color w:val="C8900A"/>
          <w:sz w:val="22"/>
        </w:rPr>
        <w:t>APEX → Canonical Migration Maps (for translating Apex transactions)</w:t>
      </w:r>
    </w:p>
    <w:p>
      <w:pPr>
        <w:spacing w:before="20" w:after="20"/>
      </w:pPr>
      <w:r>
        <w:rPr>
          <w:rFonts w:ascii="Calibri" w:hAnsi="Calibri"/>
          <w:color w:val="04400A"/>
        </w:rPr>
        <w:t xml:space="preserve">  •  </w:t>
      </w:r>
      <w:r>
        <w:rPr>
          <w:rFonts w:ascii="Calibri" w:hAnsi="Calibri"/>
          <w:color w:val="1A1A1A"/>
          <w:sz w:val="20"/>
        </w:rPr>
        <w:t xml:space="preserve">migration_map_BEI.csv (330 rows, Head Office): </w:t>
      </w:r>
      <w:r>
        <w:rPr>
          <w:rFonts w:ascii="Calibri" w:hAnsi="Calibri"/>
          <w:i/>
          <w:color w:val="666666"/>
          <w:sz w:val="18"/>
        </w:rPr>
        <w:t>(uploaded with this pack)</w:t>
      </w:r>
    </w:p>
    <w:p>
      <w:pPr>
        <w:spacing w:before="20" w:after="20"/>
      </w:pPr>
      <w:r>
        <w:rPr>
          <w:rFonts w:ascii="Calibri" w:hAnsi="Calibri"/>
          <w:color w:val="04400A"/>
        </w:rPr>
        <w:t xml:space="preserve">  •  </w:t>
      </w:r>
      <w:r>
        <w:rPr>
          <w:rFonts w:ascii="Calibri" w:hAnsi="Calibri"/>
          <w:color w:val="1A1A1A"/>
          <w:sz w:val="20"/>
        </w:rPr>
        <w:t xml:space="preserve">migration_map_BKI.csv (325 rows, Commissary): </w:t>
      </w:r>
      <w:r>
        <w:rPr>
          <w:rFonts w:ascii="Calibri" w:hAnsi="Calibri"/>
          <w:i/>
          <w:color w:val="666666"/>
          <w:sz w:val="18"/>
        </w:rPr>
        <w:t>(uploaded with this pack)</w:t>
      </w:r>
    </w:p>
    <w:p>
      <w:pPr>
        <w:spacing w:before="20" w:after="20"/>
      </w:pPr>
      <w:r>
        <w:rPr>
          <w:rFonts w:ascii="Calibri" w:hAnsi="Calibri"/>
          <w:color w:val="04400A"/>
        </w:rPr>
        <w:t xml:space="preserve">  •  </w:t>
      </w:r>
      <w:r>
        <w:rPr>
          <w:rFonts w:ascii="Calibri" w:hAnsi="Calibri"/>
          <w:color w:val="1A1A1A"/>
          <w:sz w:val="20"/>
        </w:rPr>
        <w:t xml:space="preserve">migration_map_III.csv (327 rows, Holdco): </w:t>
      </w:r>
      <w:r>
        <w:rPr>
          <w:rFonts w:ascii="Calibri" w:hAnsi="Calibri"/>
          <w:i/>
          <w:color w:val="666666"/>
          <w:sz w:val="18"/>
        </w:rPr>
        <w:t>(uploaded with this pack)</w:t>
      </w:r>
    </w:p>
    <w:p>
      <w:pPr>
        <w:spacing w:before="0" w:after="0"/>
      </w:pPr>
      <w:r>
        <w:br w:type="page"/>
      </w:r>
    </w:p>
    <w:p/>
    <w:p>
      <w:r>
        <w:rPr>
          <w:rFonts w:ascii="Calibri" w:hAnsi="Calibri"/>
          <w:b/>
          <w:color w:val="04400A"/>
          <w:sz w:val="26"/>
        </w:rPr>
        <w:t>12.  CONTACT DIRECTORY</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
      <w:r>
        <w:rPr>
          <w:rFonts w:ascii="Calibri" w:hAnsi="Calibri"/>
          <w:b/>
          <w:color w:val="04400A"/>
          <w:sz w:val="26"/>
        </w:rPr>
        <w:t>Bridge Consulting (Editor access on Drive folder)</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20" w:after="20"/>
      </w:pPr>
      <w:r>
        <w:rPr>
          <w:rFonts w:ascii="Calibri" w:hAnsi="Calibri"/>
          <w:b/>
          <w:color w:val="04400A"/>
          <w:sz w:val="20"/>
        </w:rPr>
        <w:t xml:space="preserve">  •  Anna R.: </w:t>
      </w:r>
      <w:r>
        <w:rPr>
          <w:rFonts w:ascii="Calibri" w:hAnsi="Calibri"/>
          <w:color w:val="1A1A1A"/>
          <w:sz w:val="20"/>
        </w:rPr>
        <w:t>anna.r@bridge-ph.com</w:t>
      </w:r>
      <w:r>
        <w:rPr>
          <w:rFonts w:ascii="Calibri" w:hAnsi="Calibri"/>
          <w:i/>
          <w:color w:val="666666"/>
          <w:sz w:val="20"/>
        </w:rPr>
        <w:t xml:space="preserve">  (Primary contact — Apex turnover lead)</w:t>
      </w:r>
    </w:p>
    <w:p>
      <w:pPr>
        <w:spacing w:before="20" w:after="20"/>
      </w:pPr>
      <w:r>
        <w:rPr>
          <w:rFonts w:ascii="Calibri" w:hAnsi="Calibri"/>
          <w:b/>
          <w:color w:val="04400A"/>
          <w:sz w:val="20"/>
        </w:rPr>
        <w:t xml:space="preserve">  •  Kim C.: </w:t>
      </w:r>
      <w:r>
        <w:rPr>
          <w:rFonts w:ascii="Calibri" w:hAnsi="Calibri"/>
          <w:color w:val="1A1A1A"/>
          <w:sz w:val="20"/>
        </w:rPr>
        <w:t>kim.c@bridge-ph.com</w:t>
      </w:r>
      <w:r>
        <w:rPr>
          <w:rFonts w:ascii="Calibri" w:hAnsi="Calibri"/>
          <w:i/>
          <w:color w:val="666666"/>
          <w:sz w:val="20"/>
        </w:rPr>
        <w:t xml:space="preserve">  (QBO implementation)</w:t>
      </w:r>
    </w:p>
    <w:p>
      <w:pPr>
        <w:spacing w:before="20" w:after="20"/>
      </w:pPr>
      <w:r>
        <w:rPr>
          <w:rFonts w:ascii="Calibri" w:hAnsi="Calibri"/>
          <w:b/>
          <w:color w:val="04400A"/>
          <w:sz w:val="20"/>
        </w:rPr>
        <w:t xml:space="preserve">  •  Flor A.: </w:t>
      </w:r>
      <w:r>
        <w:rPr>
          <w:rFonts w:ascii="Calibri" w:hAnsi="Calibri"/>
          <w:color w:val="1A1A1A"/>
          <w:sz w:val="20"/>
        </w:rPr>
        <w:t>flor.a@bridge-ph.com</w:t>
      </w:r>
      <w:r>
        <w:rPr>
          <w:rFonts w:ascii="Calibri" w:hAnsi="Calibri"/>
          <w:i/>
          <w:color w:val="666666"/>
          <w:sz w:val="20"/>
        </w:rPr>
        <w:t xml:space="preserve">  (Accounting / tax compliance)</w:t>
      </w:r>
    </w:p>
    <w:p>
      <w:pPr>
        <w:spacing w:before="20" w:after="20"/>
      </w:pPr>
      <w:r>
        <w:rPr>
          <w:rFonts w:ascii="Calibri" w:hAnsi="Calibri"/>
          <w:b/>
          <w:color w:val="04400A"/>
          <w:sz w:val="20"/>
        </w:rPr>
        <w:t xml:space="preserve">  •  Outsource: </w:t>
      </w:r>
      <w:r>
        <w:rPr>
          <w:rFonts w:ascii="Calibri" w:hAnsi="Calibri"/>
          <w:color w:val="1A1A1A"/>
          <w:sz w:val="20"/>
        </w:rPr>
        <w:t>accountant.outsource@bridge-ph.com</w:t>
      </w:r>
      <w:r>
        <w:rPr>
          <w:rFonts w:ascii="Calibri" w:hAnsi="Calibri"/>
          <w:i/>
          <w:color w:val="666666"/>
          <w:sz w:val="20"/>
        </w:rPr>
        <w:t xml:space="preserve">  (Bookkeeping / data entry)</w:t>
      </w:r>
    </w:p>
    <w:p/>
    <w:p>
      <w:r>
        <w:rPr>
          <w:rFonts w:ascii="Calibri" w:hAnsi="Calibri"/>
          <w:b/>
          <w:color w:val="04400A"/>
          <w:sz w:val="26"/>
        </w:rPr>
        <w:t>BEI (Editor access on Drive folder)</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20" w:after="20"/>
      </w:pPr>
      <w:r>
        <w:rPr>
          <w:rFonts w:ascii="Calibri" w:hAnsi="Calibri"/>
          <w:b/>
          <w:color w:val="04400A"/>
          <w:sz w:val="20"/>
        </w:rPr>
        <w:t xml:space="preserve">  •  Sam Karazi: </w:t>
      </w:r>
      <w:r>
        <w:rPr>
          <w:rFonts w:ascii="Calibri" w:hAnsi="Calibri"/>
          <w:color w:val="1A1A1A"/>
          <w:sz w:val="20"/>
        </w:rPr>
        <w:t>sam@bebang.ph</w:t>
      </w:r>
      <w:r>
        <w:rPr>
          <w:rFonts w:ascii="Calibri" w:hAnsi="Calibri"/>
          <w:i/>
          <w:color w:val="666666"/>
          <w:sz w:val="20"/>
        </w:rPr>
        <w:t xml:space="preserve">  (CEO — escalation + final sign-off)</w:t>
      </w:r>
    </w:p>
    <w:p>
      <w:pPr>
        <w:spacing w:before="20" w:after="20"/>
      </w:pPr>
      <w:r>
        <w:rPr>
          <w:rFonts w:ascii="Calibri" w:hAnsi="Calibri"/>
          <w:b/>
          <w:color w:val="04400A"/>
          <w:sz w:val="20"/>
        </w:rPr>
        <w:t xml:space="preserve">  •  Denise: </w:t>
      </w:r>
      <w:r>
        <w:rPr>
          <w:rFonts w:ascii="Calibri" w:hAnsi="Calibri"/>
          <w:color w:val="1A1A1A"/>
          <w:sz w:val="20"/>
        </w:rPr>
        <w:t>denise@bebang.ph</w:t>
      </w:r>
      <w:r>
        <w:rPr>
          <w:rFonts w:ascii="Calibri" w:hAnsi="Calibri"/>
          <w:i/>
          <w:color w:val="666666"/>
          <w:sz w:val="20"/>
        </w:rPr>
        <w:t xml:space="preserve">  (Finance lead (post-Butch))</w:t>
      </w:r>
    </w:p>
    <w:p>
      <w:pPr>
        <w:spacing w:before="20" w:after="20"/>
      </w:pPr>
      <w:r>
        <w:rPr>
          <w:rFonts w:ascii="Calibri" w:hAnsi="Calibri"/>
          <w:b/>
          <w:color w:val="04400A"/>
          <w:sz w:val="20"/>
        </w:rPr>
        <w:t xml:space="preserve">  •  Anthony: </w:t>
      </w:r>
      <w:r>
        <w:rPr>
          <w:rFonts w:ascii="Calibri" w:hAnsi="Calibri"/>
          <w:color w:val="1A1A1A"/>
          <w:sz w:val="20"/>
        </w:rPr>
        <w:t>anthony@bebang.ph</w:t>
      </w:r>
      <w:r>
        <w:rPr>
          <w:rFonts w:ascii="Calibri" w:hAnsi="Calibri"/>
          <w:i/>
          <w:color w:val="666666"/>
          <w:sz w:val="20"/>
        </w:rPr>
        <w:t xml:space="preserve">  (Accounting operations)</w:t>
      </w:r>
    </w:p>
    <w:p>
      <w:pPr>
        <w:spacing w:before="20" w:after="20"/>
      </w:pPr>
      <w:r>
        <w:rPr>
          <w:rFonts w:ascii="Calibri" w:hAnsi="Calibri"/>
          <w:b/>
          <w:color w:val="04400A"/>
          <w:sz w:val="20"/>
        </w:rPr>
        <w:t xml:space="preserve">  •  Sheena: </w:t>
      </w:r>
      <w:r>
        <w:rPr>
          <w:rFonts w:ascii="Calibri" w:hAnsi="Calibri"/>
          <w:color w:val="1A1A1A"/>
          <w:sz w:val="20"/>
        </w:rPr>
        <w:t>sheena@bebang.ph</w:t>
      </w:r>
      <w:r>
        <w:rPr>
          <w:rFonts w:ascii="Calibri" w:hAnsi="Calibri"/>
          <w:i/>
          <w:color w:val="666666"/>
          <w:sz w:val="20"/>
        </w:rPr>
        <w:t xml:space="preserve">  (AP / supplier admin)</w:t>
      </w:r>
    </w:p>
    <w:p>
      <w:pPr>
        <w:spacing w:before="20" w:after="20"/>
      </w:pPr>
      <w:r>
        <w:rPr>
          <w:rFonts w:ascii="Calibri" w:hAnsi="Calibri"/>
          <w:b/>
          <w:color w:val="04400A"/>
          <w:sz w:val="20"/>
        </w:rPr>
        <w:t xml:space="preserve">  •  Drew: </w:t>
      </w:r>
      <w:r>
        <w:rPr>
          <w:rFonts w:ascii="Calibri" w:hAnsi="Calibri"/>
          <w:color w:val="1A1A1A"/>
          <w:sz w:val="20"/>
        </w:rPr>
        <w:t>drew@bebang.ph</w:t>
      </w:r>
      <w:r>
        <w:rPr>
          <w:rFonts w:ascii="Calibri" w:hAnsi="Calibri"/>
          <w:i/>
          <w:color w:val="666666"/>
          <w:sz w:val="20"/>
        </w:rPr>
        <w:t xml:space="preserve">  (BIR compliance)</w:t>
      </w:r>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ESCALATION</w:t>
            </w:r>
          </w:p>
          <w:p>
            <w:pPr>
              <w:spacing w:before="0" w:after="60"/>
            </w:pPr>
            <w:r>
              <w:rPr>
                <w:rFonts w:ascii="Calibri" w:hAnsi="Calibri"/>
                <w:sz w:val="20"/>
              </w:rPr>
              <w:t>Sandbox import question → Anthony or Denise. Tax / regulatory → Drew. Policy / supersession decision → Sam. CFO seat is vacant indefinitely (Butch resigned 2026-04-15); Sam Karazi is single-owner authority for all post-resignation locks.</w:t>
            </w:r>
          </w:p>
        </w:tc>
      </w:tr>
    </w:tbl>
    <w:p>
      <w:pPr>
        <w:spacing w:before="0" w:after="0"/>
      </w:pPr>
      <w:r>
        <w:br w:type="page"/>
      </w:r>
    </w:p>
    <w:p/>
    <w:p>
      <w:r>
        <w:rPr>
          <w:rFonts w:ascii="Calibri" w:hAnsi="Calibri"/>
          <w:b/>
          <w:color w:val="04400A"/>
          <w:sz w:val="26"/>
        </w:rPr>
        <w:t>13.  SIGN-OFF</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By signing below, Bebang Enterprise Inc. (BEI) releases this BEI ERP → QuickBooks Online Setup Walkthrough Pack to Bridge Consulting for use in the QBO migration. Bridge Consulting acknowledges receipt of this document and the supporting reference files in the BEI COA Handoff Drive folder.</w:t>
      </w:r>
    </w:p>
    <w:tbl>
      <w:tblPr>
        <w:tblW w:type="auto" w:w="0"/>
        <w:jc w:val="center"/>
        <w:tblLook w:firstColumn="1" w:firstRow="1" w:lastColumn="0" w:lastRow="0" w:noHBand="0" w:noVBand="1" w:val="04A0"/>
      </w:tblPr>
      <w:tblGrid>
        <w:gridCol w:w="5040"/>
        <w:gridCol w:w="5040"/>
      </w:tblGrid>
      <w:tr>
        <w:tc>
          <w:tcPr>
            <w:tcW w:type="dxa" w:w="4333"/>
            <w:shd w:fill="E6ECE7" w:val="clear"/>
            <w:tcBorders>
              <w:top w:val="single" w:sz="12" w:color="C8900A"/>
              <w:left w:val="single" w:sz="12" w:color="C8900A"/>
              <w:bottom w:val="single" w:sz="12" w:color="C8900A"/>
              <w:right w:val="single" w:sz="12" w:color="C8900A"/>
            </w:tcBorders>
            <w:tcMar>
              <w:top w:w="200" w:type="dxa"/>
              <w:bottom w:w="200" w:type="dxa"/>
              <w:start w:w="200" w:type="dxa"/>
              <w:end w:w="200" w:type="dxa"/>
            </w:tcMar>
          </w:tcPr>
          <w:p>
            <w:r/>
            <w:r>
              <w:rPr>
                <w:rFonts w:ascii="Calibri" w:hAnsi="Calibri"/>
                <w:b/>
                <w:color w:val="04400A"/>
                <w:sz w:val="20"/>
              </w:rPr>
              <w:t>RELEASED BY (BEI):</w:t>
            </w:r>
          </w:p>
          <w:p/>
          <w:p/>
          <w:p>
            <w:r>
              <w:rPr>
                <w:rFonts w:ascii="Calibri" w:hAnsi="Calibri"/>
                <w:sz w:val="20"/>
              </w:rPr>
              <w:t>_____________________________________</w:t>
            </w:r>
          </w:p>
          <w:p>
            <w:r>
              <w:rPr>
                <w:rFonts w:ascii="Calibri" w:hAnsi="Calibri"/>
                <w:b/>
                <w:color w:val="1A1A1A"/>
                <w:sz w:val="22"/>
              </w:rPr>
              <w:t>Sam Karazi</w:t>
            </w:r>
          </w:p>
          <w:p>
            <w:r>
              <w:rPr>
                <w:rFonts w:ascii="Calibri" w:hAnsi="Calibri"/>
                <w:color w:val="666666"/>
                <w:sz w:val="18"/>
              </w:rPr>
              <w:t>Chief Executive Officer</w:t>
            </w:r>
          </w:p>
          <w:p>
            <w:r>
              <w:rPr>
                <w:rFonts w:ascii="Calibri" w:hAnsi="Calibri"/>
                <w:i/>
                <w:color w:val="666666"/>
                <w:sz w:val="18"/>
              </w:rPr>
              <w:t>Bebang Enterprise Inc.</w:t>
            </w:r>
          </w:p>
          <w:p>
            <w:r>
              <w:rPr>
                <w:rFonts w:ascii="Calibri" w:hAnsi="Calibri"/>
                <w:color w:val="1A1A1A"/>
                <w:sz w:val="20"/>
              </w:rPr>
              <w:t>Date: ______________________</w:t>
            </w:r>
          </w:p>
        </w:tc>
        <w:tc>
          <w:tcPr>
            <w:tcW w:type="dxa" w:w="4333"/>
            <w:shd w:fill="E6ECE7" w:val="clear"/>
            <w:tcBorders>
              <w:top w:val="single" w:sz="12" w:color="C8900A"/>
              <w:left w:val="single" w:sz="12" w:color="C8900A"/>
              <w:bottom w:val="single" w:sz="12" w:color="C8900A"/>
              <w:right w:val="single" w:sz="12" w:color="C8900A"/>
            </w:tcBorders>
            <w:tcMar>
              <w:top w:w="200" w:type="dxa"/>
              <w:bottom w:w="200" w:type="dxa"/>
              <w:start w:w="200" w:type="dxa"/>
              <w:end w:w="200" w:type="dxa"/>
            </w:tcMar>
          </w:tcPr>
          <w:p>
            <w:r/>
            <w:r>
              <w:rPr>
                <w:rFonts w:ascii="Calibri" w:hAnsi="Calibri"/>
                <w:b/>
                <w:color w:val="04400A"/>
                <w:sz w:val="20"/>
              </w:rPr>
              <w:t>ACKNOWLEDGED BY (BRIDGE):</w:t>
            </w:r>
          </w:p>
          <w:p/>
          <w:p/>
          <w:p>
            <w:r>
              <w:rPr>
                <w:rFonts w:ascii="Calibri" w:hAnsi="Calibri"/>
                <w:sz w:val="20"/>
              </w:rPr>
              <w:t>_____________________________________</w:t>
            </w:r>
          </w:p>
          <w:p>
            <w:r>
              <w:rPr>
                <w:rFonts w:ascii="Calibri" w:hAnsi="Calibri"/>
                <w:b/>
                <w:color w:val="1A1A1A"/>
                <w:sz w:val="22"/>
              </w:rPr>
              <w:t>_______________________________</w:t>
            </w:r>
          </w:p>
          <w:p>
            <w:r>
              <w:rPr>
                <w:rFonts w:ascii="Calibri" w:hAnsi="Calibri"/>
                <w:color w:val="666666"/>
                <w:sz w:val="18"/>
              </w:rPr>
              <w:t>(Print Name &amp; Title)</w:t>
            </w:r>
          </w:p>
          <w:p>
            <w:r>
              <w:rPr>
                <w:rFonts w:ascii="Calibri" w:hAnsi="Calibri"/>
                <w:i/>
                <w:color w:val="666666"/>
                <w:sz w:val="18"/>
              </w:rPr>
              <w:t>Bridge Consulting</w:t>
            </w:r>
          </w:p>
          <w:p>
            <w:r>
              <w:rPr>
                <w:rFonts w:ascii="Calibri" w:hAnsi="Calibri"/>
                <w:color w:val="1A1A1A"/>
                <w:sz w:val="20"/>
              </w:rPr>
              <w:t>Date: ______________________</w:t>
            </w:r>
          </w:p>
        </w:tc>
      </w:tr>
    </w:tbl>
    <w:p>
      <w:pPr>
        <w:spacing w:before="400" w:after="0"/>
        <w:jc w:val="center"/>
      </w:pPr>
      <w:r>
        <w:rPr>
          <w:rFonts w:ascii="Calibri" w:hAnsi="Calibri"/>
          <w:i/>
          <w:color w:val="666666"/>
          <w:sz w:val="18"/>
        </w:rPr>
        <w:t>— END OF WALKTHROUGH —</w:t>
      </w:r>
    </w:p>
    <w:p>
      <w:pPr>
        <w:spacing w:before="40" w:after="0"/>
        <w:jc w:val="center"/>
      </w:pPr>
      <w:r>
        <w:rPr>
          <w:rFonts w:ascii="Calibri" w:hAnsi="Calibri"/>
          <w:color w:val="666666"/>
          <w:sz w:val="16"/>
        </w:rPr>
        <w:t>Bebang Enterprise Inc. — Confidential — For Bridge Consulting use only</w:t>
      </w:r>
    </w:p>
    <w:p>
      <w:pPr>
        <w:spacing w:before="20" w:after="0"/>
        <w:jc w:val="center"/>
      </w:pPr>
      <w:r>
        <w:rPr>
          <w:rFonts w:ascii="Calibri" w:hAnsi="Calibri"/>
          <w:color w:val="666666"/>
          <w:sz w:val="16"/>
        </w:rPr>
        <w:t>Generated 2026-06-05 from S258 sprint closeout — see hrms PR #770</w:t>
      </w:r>
    </w:p>
    <w:sectPr w:rsidR="00FC693F" w:rsidRPr="0006063C" w:rsidSect="00034616">
      <w:pgSz w:w="11906" w:h="16838"/>
      <w:pgMar w:top="144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rive.google.com/drive/folders/1GnrFKICFYN6xz9IKeAFCM0xYtFN02OcE" TargetMode="External"/><Relationship Id="rId11" Type="http://schemas.openxmlformats.org/officeDocument/2006/relationships/hyperlink" Target="https://drive.google.com/file/d/1yBidpnZaKF5b8gjxXwOB9DoKtAfEKiUN/view?usp=drivesdk" TargetMode="External"/><Relationship Id="rId12" Type="http://schemas.openxmlformats.org/officeDocument/2006/relationships/hyperlink" Target="https://docs.google.com/spreadsheets/d/1KZ1xeIIKiHPHRg_KOXVJy3Eq0d1wK3ph/edit?usp=drivesdk&amp;ouid=115141803777443372092&amp;rtpof=true&amp;sd=true" TargetMode="External"/><Relationship Id="rId13" Type="http://schemas.openxmlformats.org/officeDocument/2006/relationships/hyperlink" Target="https://docs.google.com/document/d/1T5QmwXy-65BwL2KrGKo5NOC3_i9TXEIH/edit?usp=drivesdk&amp;ouid=115141803777443372092&amp;rtpof=true&amp;sd=true" TargetMode="External"/><Relationship Id="rId14" Type="http://schemas.openxmlformats.org/officeDocument/2006/relationships/hyperlink" Target="https://drive.google.com/file/d/1LU4peb6ExnqWwbcNGKQ-dpe0jVYmcNig/view?usp=drivesdk" TargetMode="External"/><Relationship Id="rId15" Type="http://schemas.openxmlformats.org/officeDocument/2006/relationships/hyperlink" Target="https://drive.google.com/file/d/19aRaLmJyfy7hvH7lUgNwY5Dx_N9cZgHR/view?usp=drivesdk" TargetMode="External"/><Relationship Id="rId16" Type="http://schemas.openxmlformats.org/officeDocument/2006/relationships/hyperlink" Target="https://docs.google.com/spreadsheets/d/1OBcaG1kxFb35VsadN2cLhXmlWFIt-Ll9XjKeCUGAZms/edit?usp=drivesdk" TargetMode="External"/><Relationship Id="rId17" Type="http://schemas.openxmlformats.org/officeDocument/2006/relationships/hyperlink" Target="https://docs.google.com/document/d/1MELen0KfU4Hp6jX-yDpOAzRtUKp11cDui5lyn-tjIRM/edit?usp=drivesdk" TargetMode="External"/><Relationship Id="rId18" Type="http://schemas.openxmlformats.org/officeDocument/2006/relationships/hyperlink" Target="https://docs.google.com/document/d/1Jnq3SFD-jAik3EFHLPfFYch6cs-7Q0UfYFvcyjviEy8/edit?usp=drivesdk" TargetMode="External"/><Relationship Id="rId19" Type="http://schemas.openxmlformats.org/officeDocument/2006/relationships/hyperlink" Target="https://docs.google.com/document/d/1Snw056nnWsCaHrqWeoc-KjPX7QvsLzlkN3pZTNSOcoI/edit?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