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shd w:val="clear" w:color="auto" w:fill="04400A"/>
      </w:pPr>
      <w:r>
        <w:rPr>
          <w:rFonts w:ascii="Calibri" w:hAnsi="Calibri"/>
          <w:b/>
          <w:color w:val="FFFFFF"/>
          <w:sz w:val="36"/>
        </w:rPr>
        <w:t>BEBANG ENTERPRISE INC.</w:t>
      </w:r>
    </w:p>
    <w:p>
      <w:pPr>
        <w:jc w:val="center"/>
        <w:spacing w:before="0" w:after="0"/>
        <w:shd w:val="clear" w:color="auto" w:fill="F8F0D9"/>
      </w:pPr>
      <w:r>
        <w:rPr>
          <w:rFonts w:ascii="Calibri" w:hAnsi="Calibri"/>
          <w:b/>
          <w:color w:val="1A1A1A"/>
          <w:sz w:val="24"/>
        </w:rPr>
        <w:t>Chart of Accounts + General Ledger Finalization</w:t>
      </w:r>
    </w:p>
    <w:p>
      <w:pPr>
        <w:spacing w:before="240" w:after="0"/>
      </w:pPr>
    </w:p>
    <w:p>
      <w:pPr>
        <w:jc w:val="center"/>
        <w:spacing w:before="200" w:after="200"/>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bei_logo.png"/>
                    <pic:cNvPicPr/>
                  </pic:nvPicPr>
                  <pic:blipFill>
                    <a:blip r:embed="rId9"/>
                    <a:stretch>
                      <a:fillRect/>
                    </a:stretch>
                  </pic:blipFill>
                  <pic:spPr>
                    <a:xfrm>
                      <a:off x="0" y="0"/>
                      <a:ext cx="2286000" cy="2286000"/>
                    </a:xfrm>
                    <a:prstGeom prst="rect"/>
                  </pic:spPr>
                </pic:pic>
              </a:graphicData>
            </a:graphic>
          </wp:inline>
        </w:drawing>
      </w:r>
    </w:p>
    <w:p>
      <w:pPr>
        <w:jc w:val="center"/>
        <w:spacing w:before="400" w:after="80"/>
      </w:pPr>
      <w:r>
        <w:rPr>
          <w:rFonts w:ascii="Calibri" w:hAnsi="Calibri"/>
          <w:b/>
          <w:color w:val="04400A"/>
          <w:sz w:val="56"/>
        </w:rPr>
        <w:t>S258 SIGN-OFF</w:t>
      </w:r>
    </w:p>
    <w:p>
      <w:pPr>
        <w:jc w:val="center"/>
        <w:spacing w:before="0" w:after="40"/>
      </w:pPr>
      <w:r>
        <w:rPr>
          <w:rFonts w:ascii="Calibri" w:hAnsi="Calibri"/>
          <w:b/>
          <w:color w:val="C8900A"/>
          <w:sz w:val="28"/>
        </w:rPr>
        <w:t>Bridge Consulting QBO Handoff Package</w:t>
      </w:r>
    </w:p>
    <w:p>
      <w:pPr>
        <w:jc w:val="center"/>
        <w:spacing w:before="0" w:after="400"/>
      </w:pPr>
      <w:r>
        <w:rPr>
          <w:rFonts w:ascii="Calibri" w:hAnsi="Calibri"/>
          <w:i/>
          <w:color w:val="666666"/>
          <w:sz w:val="24"/>
        </w:rPr>
        <w:t>COA + GL Finalization for ALL 58 Companies</w:t>
      </w:r>
    </w:p>
    <w:tbl>
      <w:tblPr>
        <w:tblW w:type="auto" w:w="0"/>
        <w:jc w:val="center"/>
        <w:tblLook w:firstColumn="1" w:firstRow="1" w:lastColumn="0" w:lastRow="0" w:noHBand="0" w:noVBand="1" w:val="04A0"/>
      </w:tblPr>
      <w:tblGrid>
        <w:gridCol w:w="2880"/>
        <w:gridCol w:w="6480"/>
      </w:tblGrid>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Sprint ID</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S258</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Sprint Title</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COA + GL Finalization for ALL 58 Companies (Bridge QBO Handoff)</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Date</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2026-06-04</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Approver</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Sam Karazi — Chief Executive Officer, Bebang Enterprise Inc.</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Migration Partner</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Bridge Consulting (APEX → QuickBooks Online)</w:t>
            </w:r>
          </w:p>
        </w:tc>
      </w:tr>
      <w:tr>
        <w:tc>
          <w:tcPr>
            <w:tcW w:type="dxa" w:w="4333"/>
            <w:shd w:fill="04400A"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b/>
                <w:color w:val="FFFFFF"/>
                <w:sz w:val="20"/>
              </w:rPr>
              <w:t>PR / Merge SHA</w:t>
            </w:r>
          </w:p>
        </w:tc>
        <w:tc>
          <w:tcPr>
            <w:tcW w:type="dxa" w:w="4333"/>
            <w:shd w:fill="FFFFFF" w:val="clear"/>
            <w:tcBorders>
              <w:top w:val="single" w:sz="4" w:color="D4D0C8"/>
              <w:left w:val="single" w:sz="4" w:color="D4D0C8"/>
              <w:bottom w:val="single" w:sz="4" w:color="D4D0C8"/>
              <w:right w:val="single" w:sz="4" w:color="D4D0C8"/>
            </w:tcBorders>
            <w:tcMar>
              <w:top w:w="80" w:type="dxa"/>
              <w:bottom w:w="80" w:type="dxa"/>
              <w:start w:w="120" w:type="dxa"/>
              <w:end w:w="120" w:type="dxa"/>
            </w:tcMar>
          </w:tcPr>
          <w:p>
            <w:r/>
            <w:r>
              <w:rPr>
                <w:rFonts w:ascii="Calibri" w:hAnsi="Calibri"/>
                <w:color w:val="1A1A1A"/>
                <w:sz w:val="20"/>
              </w:rPr>
              <w:t>Bebang-Enterprise-Inc/hrms#770 — merged at 8b0636f22</w:t>
            </w:r>
          </w:p>
        </w:tc>
      </w:tr>
    </w:tbl>
    <w:p>
      <w:pPr>
        <w:spacing w:before="0" w:after="0"/>
      </w:pPr>
      <w:r>
        <w:br w:type="page"/>
      </w:r>
    </w:p>
    <w:p/>
    <w:p>
      <w:r>
        <w:rPr>
          <w:rFonts w:ascii="Calibri" w:hAnsi="Calibri"/>
          <w:b/>
          <w:color w:val="04400A"/>
          <w:sz w:val="26"/>
        </w:rPr>
        <w:t>EXECUTIVE SUMMARY — KEY METRICS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ind w:firstLine="720"/>
      </w:pPr>
      <w:r>
        <w:rPr>
          <w:rFonts w:ascii="Calibri" w:hAnsi="Calibri"/>
        </w:rPr>
        <w:t>S258 closed out on 2026-06-04 with all 100 work units executed across 11 phases. All 58 Frappe Companies now carry the canonical 5-root tree + Butch Formoso's 27-account Sales tree (per-role population) + Fork 1 scaffolding for BFC + per-store P&amp;L for the 4 BEI-TIN stub stores. The Bridge Consulting QBO handoff package is ready for sandbox import.</w:t>
      </w:r>
    </w:p>
    <w:tbl>
      <w:tblPr>
        <w:tblW w:type="auto" w:w="0"/>
        <w:jc w:val="center"/>
        <w:tblLook w:firstColumn="1" w:firstRow="1" w:lastColumn="0" w:lastRow="0" w:noHBand="0" w:noVBand="1" w:val="04A0"/>
      </w:tblPr>
      <w:tblGrid>
        <w:gridCol w:w="2166"/>
        <w:gridCol w:w="2166"/>
        <w:gridCol w:w="2166"/>
        <w:gridCol w:w="2166"/>
      </w:tblGrid>
      <w:tr>
        <w:tc>
          <w:tcPr>
            <w:tcW w:type="dxa" w:w="2166"/>
            <w:shd w:fill="F2E5F5" w:val="clear"/>
            <w:tcBorders>
              <w:top w:val="single" w:sz="4" w:color="D4D0C8"/>
              <w:left w:val="single" w:sz="4" w:color="D4D0C8"/>
              <w:bottom w:val="single" w:sz="4" w:color="D4D0C8"/>
              <w:right w:val="single" w:sz="4" w:color="D4D0C8"/>
            </w:tcBorders>
            <w:tcMar>
              <w:top w:w="200" w:type="dxa"/>
              <w:bottom w:w="80" w:type="dxa"/>
              <w:start w:w="80" w:type="dxa"/>
              <w:end w:w="80" w:type="dxa"/>
            </w:tcMar>
          </w:tcPr>
          <w:p>
            <w:pPr>
              <w:jc w:val="center"/>
            </w:pPr>
            <w:r/>
            <w:r>
              <w:rPr>
                <w:rFonts w:ascii="Calibri" w:hAnsi="Calibri"/>
                <w:b/>
                <w:color w:val="801297"/>
                <w:sz w:val="56"/>
              </w:rPr>
              <w:t>58</w:t>
            </w:r>
          </w:p>
        </w:tc>
        <w:tc>
          <w:tcPr>
            <w:tcW w:type="dxa" w:w="2166"/>
            <w:shd w:fill="F2E5F5" w:val="clear"/>
            <w:tcBorders>
              <w:top w:val="single" w:sz="4" w:color="D4D0C8"/>
              <w:left w:val="single" w:sz="4" w:color="D4D0C8"/>
              <w:bottom w:val="single" w:sz="4" w:color="D4D0C8"/>
              <w:right w:val="single" w:sz="4" w:color="D4D0C8"/>
            </w:tcBorders>
            <w:tcMar>
              <w:top w:w="200" w:type="dxa"/>
              <w:bottom w:w="80" w:type="dxa"/>
              <w:start w:w="80" w:type="dxa"/>
              <w:end w:w="80" w:type="dxa"/>
            </w:tcMar>
          </w:tcPr>
          <w:p>
            <w:pPr>
              <w:jc w:val="center"/>
            </w:pPr>
            <w:r/>
            <w:r>
              <w:rPr>
                <w:rFonts w:ascii="Calibri" w:hAnsi="Calibri"/>
                <w:b/>
                <w:color w:val="801297"/>
                <w:sz w:val="56"/>
              </w:rPr>
              <w:t>6,928</w:t>
            </w:r>
          </w:p>
        </w:tc>
        <w:tc>
          <w:tcPr>
            <w:tcW w:type="dxa" w:w="2166"/>
            <w:shd w:fill="F2E5F5" w:val="clear"/>
            <w:tcBorders>
              <w:top w:val="single" w:sz="4" w:color="D4D0C8"/>
              <w:left w:val="single" w:sz="4" w:color="D4D0C8"/>
              <w:bottom w:val="single" w:sz="4" w:color="D4D0C8"/>
              <w:right w:val="single" w:sz="4" w:color="D4D0C8"/>
            </w:tcBorders>
            <w:tcMar>
              <w:top w:w="200" w:type="dxa"/>
              <w:bottom w:w="80" w:type="dxa"/>
              <w:start w:w="80" w:type="dxa"/>
              <w:end w:w="80" w:type="dxa"/>
            </w:tcMar>
          </w:tcPr>
          <w:p>
            <w:pPr>
              <w:jc w:val="center"/>
            </w:pPr>
            <w:r/>
            <w:r>
              <w:rPr>
                <w:rFonts w:ascii="Calibri" w:hAnsi="Calibri"/>
                <w:b/>
                <w:color w:val="801297"/>
                <w:sz w:val="56"/>
              </w:rPr>
              <w:t>290</w:t>
            </w:r>
          </w:p>
        </w:tc>
        <w:tc>
          <w:tcPr>
            <w:tcW w:type="dxa" w:w="2166"/>
            <w:shd w:fill="F2E5F5" w:val="clear"/>
            <w:tcBorders>
              <w:top w:val="single" w:sz="4" w:color="D4D0C8"/>
              <w:left w:val="single" w:sz="4" w:color="D4D0C8"/>
              <w:bottom w:val="single" w:sz="4" w:color="D4D0C8"/>
              <w:right w:val="single" w:sz="4" w:color="D4D0C8"/>
            </w:tcBorders>
            <w:tcMar>
              <w:top w:w="200" w:type="dxa"/>
              <w:bottom w:w="80" w:type="dxa"/>
              <w:start w:w="80" w:type="dxa"/>
              <w:end w:w="80" w:type="dxa"/>
            </w:tcMar>
          </w:tcPr>
          <w:p>
            <w:pPr>
              <w:jc w:val="center"/>
            </w:pPr>
            <w:r/>
            <w:r>
              <w:rPr>
                <w:rFonts w:ascii="Calibri" w:hAnsi="Calibri"/>
                <w:b/>
                <w:color w:val="801297"/>
                <w:sz w:val="56"/>
              </w:rPr>
              <w:t>100%</w:t>
            </w:r>
          </w:p>
        </w:tc>
      </w:tr>
      <w:tr>
        <w:tc>
          <w:tcPr>
            <w:tcW w:type="dxa" w:w="2166"/>
            <w:shd w:fill="F2E5F5" w:val="clear"/>
            <w:tcBorders>
              <w:top w:val="single" w:sz="4" w:color="D4D0C8"/>
              <w:left w:val="single" w:sz="4" w:color="D4D0C8"/>
              <w:bottom w:val="single" w:sz="4" w:color="D4D0C8"/>
              <w:right w:val="single" w:sz="4" w:color="D4D0C8"/>
            </w:tcBorders>
            <w:tcMar>
              <w:top w:w="40" w:type="dxa"/>
              <w:bottom w:w="200" w:type="dxa"/>
              <w:start w:w="80" w:type="dxa"/>
              <w:end w:w="80" w:type="dxa"/>
            </w:tcMar>
          </w:tcPr>
          <w:p>
            <w:pPr>
              <w:jc w:val="center"/>
            </w:pPr>
            <w:r/>
            <w:r>
              <w:rPr>
                <w:rFonts w:ascii="Calibri" w:hAnsi="Calibri"/>
                <w:b/>
                <w:color w:val="1A1A1A"/>
                <w:sz w:val="18"/>
              </w:rPr>
              <w:t>COMPANIES</w:t>
            </w:r>
          </w:p>
        </w:tc>
        <w:tc>
          <w:tcPr>
            <w:tcW w:type="dxa" w:w="2166"/>
            <w:shd w:fill="F2E5F5" w:val="clear"/>
            <w:tcBorders>
              <w:top w:val="single" w:sz="4" w:color="D4D0C8"/>
              <w:left w:val="single" w:sz="4" w:color="D4D0C8"/>
              <w:bottom w:val="single" w:sz="4" w:color="D4D0C8"/>
              <w:right w:val="single" w:sz="4" w:color="D4D0C8"/>
            </w:tcBorders>
            <w:tcMar>
              <w:top w:w="40" w:type="dxa"/>
              <w:bottom w:w="200" w:type="dxa"/>
              <w:start w:w="80" w:type="dxa"/>
              <w:end w:w="80" w:type="dxa"/>
            </w:tcMar>
          </w:tcPr>
          <w:p>
            <w:pPr>
              <w:jc w:val="center"/>
            </w:pPr>
            <w:r/>
            <w:r>
              <w:rPr>
                <w:rFonts w:ascii="Calibri" w:hAnsi="Calibri"/>
                <w:b/>
                <w:color w:val="1A1A1A"/>
                <w:sz w:val="18"/>
              </w:rPr>
              <w:t>ACTIVE ACCOUNTS</w:t>
            </w:r>
          </w:p>
        </w:tc>
        <w:tc>
          <w:tcPr>
            <w:tcW w:type="dxa" w:w="2166"/>
            <w:shd w:fill="F2E5F5" w:val="clear"/>
            <w:tcBorders>
              <w:top w:val="single" w:sz="4" w:color="D4D0C8"/>
              <w:left w:val="single" w:sz="4" w:color="D4D0C8"/>
              <w:bottom w:val="single" w:sz="4" w:color="D4D0C8"/>
              <w:right w:val="single" w:sz="4" w:color="D4D0C8"/>
            </w:tcBorders>
            <w:tcMar>
              <w:top w:w="40" w:type="dxa"/>
              <w:bottom w:w="200" w:type="dxa"/>
              <w:start w:w="80" w:type="dxa"/>
              <w:end w:w="80" w:type="dxa"/>
            </w:tcMar>
          </w:tcPr>
          <w:p>
            <w:pPr>
              <w:jc w:val="center"/>
            </w:pPr>
            <w:r/>
            <w:r>
              <w:rPr>
                <w:rFonts w:ascii="Calibri" w:hAnsi="Calibri"/>
                <w:b/>
                <w:color w:val="1A1A1A"/>
                <w:sz w:val="18"/>
              </w:rPr>
              <w:t>ROOT GROUPS</w:t>
            </w:r>
          </w:p>
        </w:tc>
        <w:tc>
          <w:tcPr>
            <w:tcW w:type="dxa" w:w="2166"/>
            <w:shd w:fill="F2E5F5" w:val="clear"/>
            <w:tcBorders>
              <w:top w:val="single" w:sz="4" w:color="D4D0C8"/>
              <w:left w:val="single" w:sz="4" w:color="D4D0C8"/>
              <w:bottom w:val="single" w:sz="4" w:color="D4D0C8"/>
              <w:right w:val="single" w:sz="4" w:color="D4D0C8"/>
            </w:tcBorders>
            <w:tcMar>
              <w:top w:w="40" w:type="dxa"/>
              <w:bottom w:w="200" w:type="dxa"/>
              <w:start w:w="80" w:type="dxa"/>
              <w:end w:w="80" w:type="dxa"/>
            </w:tcMar>
          </w:tcPr>
          <w:p>
            <w:pPr>
              <w:jc w:val="center"/>
            </w:pPr>
            <w:r/>
            <w:r>
              <w:rPr>
                <w:rFonts w:ascii="Calibri" w:hAnsi="Calibri"/>
                <w:b/>
                <w:color w:val="1A1A1A"/>
                <w:sz w:val="18"/>
              </w:rPr>
              <w:t>GL PRESERVED</w:t>
            </w:r>
          </w:p>
        </w:tc>
      </w:tr>
    </w:tbl>
    <w:p/>
    <w:p/>
    <w:p>
      <w:r>
        <w:rPr>
          <w:rFonts w:ascii="Calibri" w:hAnsi="Calibri"/>
          <w:b/>
          <w:color w:val="04400A"/>
          <w:sz w:val="26"/>
        </w:rPr>
        <w:t>SAM DIRECTIVE COMPLIANCE — CEO Directive 2026-06-04</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ook w:firstColumn="1" w:firstRow="1" w:lastColumn="0" w:lastRow="0" w:noHBand="0" w:noVBand="1" w:val="04A0"/>
      </w:tblPr>
      <w:tblGrid>
        <w:gridCol w:w="7560"/>
      </w:tblGrid>
      <w:tr>
        <w:tc>
          <w:tcPr>
            <w:tcW w:type="dxa" w:w="8666"/>
            <w:shd w:fill="F8F0D9" w:val="clear"/>
            <w:tcBorders>
              <w:top w:val="single" w:sz="8" w:color="C8900A"/>
              <w:left w:val="single" w:sz="8" w:color="C8900A"/>
              <w:bottom w:val="single" w:sz="8" w:color="C8900A"/>
              <w:right w:val="single" w:sz="8" w:color="C8900A"/>
            </w:tcBorders>
            <w:tcMar>
              <w:top w:w="120" w:type="dxa"/>
              <w:bottom w:w="120" w:type="dxa"/>
              <w:start w:w="200" w:type="dxa"/>
              <w:end w:w="200" w:type="dxa"/>
            </w:tcMar>
          </w:tcPr>
          <w:p>
            <w:pPr>
              <w:spacing w:before="0" w:after="60"/>
            </w:pPr>
            <w:r>
              <w:rPr>
                <w:rFonts w:ascii="Calibri" w:hAnsi="Calibri"/>
                <w:b/>
                <w:sz w:val="22"/>
              </w:rPr>
              <w:t>Verbatim CEO Directive — 2026-06-04</w:t>
            </w:r>
          </w:p>
          <w:p>
            <w:pPr>
              <w:spacing w:before="0" w:after="60"/>
            </w:pPr>
            <w:r>
              <w:rPr>
                <w:rFonts w:ascii="Calibri" w:hAnsi="Calibri"/>
                <w:sz w:val="20"/>
              </w:rPr>
              <w:t>"GLs and COA for all companies ready for Bridge. Per-store P&amp;L. BKI = Commissary. BEI = Head Office. Nothing cancelled or deferred."</w:t>
            </w:r>
          </w:p>
        </w:tc>
      </w:tr>
    </w:tbl>
    <w:tbl>
      <w:tblPr>
        <w:tblW w:type="auto" w:w="0"/>
        <w:jc w:val="center"/>
        <w:tblLook w:firstColumn="1" w:firstRow="1" w:lastColumn="0" w:lastRow="0" w:noHBand="0" w:noVBand="1" w:val="04A0"/>
      </w:tblPr>
      <w:tblGrid>
        <w:gridCol w:w="3744"/>
        <w:gridCol w:w="5184"/>
        <w:gridCol w:w="1152"/>
      </w:tblGrid>
      <w:tr>
        <w:tc>
          <w:tcPr>
            <w:tcW w:type="dxa" w:w="2889"/>
            <w:shd w:fill="04400A"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
              <w:rPr>
                <w:rFonts w:ascii="Calibri" w:hAnsi="Calibri"/>
                <w:b/>
                <w:color w:val="FFFFFF"/>
                <w:sz w:val="20"/>
              </w:rPr>
              <w:t>Directive</w:t>
            </w:r>
          </w:p>
        </w:tc>
        <w:tc>
          <w:tcPr>
            <w:tcW w:type="dxa" w:w="2889"/>
            <w:shd w:fill="04400A"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
              <w:rPr>
                <w:rFonts w:ascii="Calibri" w:hAnsi="Calibri"/>
                <w:b/>
                <w:color w:val="FFFFFF"/>
                <w:sz w:val="20"/>
              </w:rPr>
              <w:t>Live State</w:t>
            </w:r>
          </w:p>
        </w:tc>
        <w:tc>
          <w:tcPr>
            <w:tcW w:type="dxa" w:w="2889"/>
            <w:shd w:fill="04400A"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
              <w:rPr>
                <w:rFonts w:ascii="Calibri" w:hAnsi="Calibri"/>
                <w:b/>
                <w:color w:val="FFFFFF"/>
                <w:sz w:val="20"/>
              </w:rPr>
              <w:t>Verdict</w:t>
            </w:r>
          </w:p>
        </w:tc>
      </w:tr>
      <w:tr>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GLs and COA for all companies ready for Bridge</w:t>
            </w:r>
          </w:p>
        </w:tc>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58 CSVs in per_company_coa.zip; 6,928 active accounts</w:t>
            </w:r>
          </w:p>
        </w:tc>
        <w:tc>
          <w:tcPr>
            <w:tcW w:type="dxa" w:w="2889"/>
            <w:shd w:fill="FFFFFF" w:val="clear"/>
            <w:shd w:fill="8FBC8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Pr>
                <w:b/>
              </w:rPr>
            </w:r>
            <w:r>
              <w:rPr>
                <w:rFonts w:ascii="Calibri" w:hAnsi="Calibri"/>
                <w:color w:val="1A1A1A"/>
                <w:sz w:val="18"/>
              </w:rPr>
              <w:t>YES</w:t>
            </w:r>
          </w:p>
        </w:tc>
      </w:tr>
      <w:tr>
        <w:tc>
          <w:tcPr>
            <w:tcW w:type="dxa" w:w="2889"/>
            <w:shd w:fill="E6ECE7"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Per-store P&amp;L for ALL companies</w:t>
            </w:r>
          </w:p>
        </w:tc>
        <w:tc>
          <w:tcPr>
            <w:tcW w:type="dxa" w:w="2889"/>
            <w:shd w:fill="E6ECE7"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49 stores + 4 BEI-TIN stubs each with own Sales tree</w:t>
            </w:r>
          </w:p>
        </w:tc>
        <w:tc>
          <w:tcPr>
            <w:tcW w:type="dxa" w:w="2889"/>
            <w:shd w:fill="E6ECE7" w:val="clear"/>
            <w:shd w:fill="8FBC8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Pr>
                <w:b/>
              </w:rPr>
            </w:r>
            <w:r>
              <w:rPr>
                <w:rFonts w:ascii="Calibri" w:hAnsi="Calibri"/>
                <w:color w:val="1A1A1A"/>
                <w:sz w:val="18"/>
              </w:rPr>
              <w:t>YES</w:t>
            </w:r>
          </w:p>
        </w:tc>
      </w:tr>
      <w:tr>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BKI P&amp;L = Commissary</w:t>
            </w:r>
          </w:p>
        </w:tc>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BKI populates 4000200 sub-tree only per COA-175-011</w:t>
            </w:r>
          </w:p>
        </w:tc>
        <w:tc>
          <w:tcPr>
            <w:tcW w:type="dxa" w:w="2889"/>
            <w:shd w:fill="FFFFFF" w:val="clear"/>
            <w:shd w:fill="8FBC8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Pr>
                <w:b/>
              </w:rPr>
            </w:r>
            <w:r>
              <w:rPr>
                <w:rFonts w:ascii="Calibri" w:hAnsi="Calibri"/>
                <w:color w:val="1A1A1A"/>
                <w:sz w:val="18"/>
              </w:rPr>
              <w:t>YES</w:t>
            </w:r>
          </w:p>
        </w:tc>
      </w:tr>
      <w:tr>
        <w:tc>
          <w:tcPr>
            <w:tcW w:type="dxa" w:w="2889"/>
            <w:shd w:fill="E6ECE7"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BEI = Head Office P&amp;L (NOT store)</w:t>
            </w:r>
          </w:p>
        </w:tc>
        <w:tc>
          <w:tcPr>
            <w:tcW w:type="dxa" w:w="2889"/>
            <w:shd w:fill="E6ECE7"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BEI Head Office; 4 stubs are separate Frappe Companies</w:t>
            </w:r>
          </w:p>
        </w:tc>
        <w:tc>
          <w:tcPr>
            <w:tcW w:type="dxa" w:w="2889"/>
            <w:shd w:fill="E6ECE7" w:val="clear"/>
            <w:shd w:fill="8FBC8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Pr>
                <w:b/>
              </w:rPr>
            </w:r>
            <w:r>
              <w:rPr>
                <w:rFonts w:ascii="Calibri" w:hAnsi="Calibri"/>
                <w:color w:val="1A1A1A"/>
                <w:sz w:val="18"/>
              </w:rPr>
              <w:t>YES</w:t>
            </w:r>
          </w:p>
        </w:tc>
      </w:tr>
      <w:tr>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BFC GO-LIVE structure ready</w:t>
            </w:r>
          </w:p>
        </w:tc>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Fork 1 scaffolding (1104200 + 2104200 + 2102205)</w:t>
            </w:r>
          </w:p>
        </w:tc>
        <w:tc>
          <w:tcPr>
            <w:tcW w:type="dxa" w:w="2889"/>
            <w:shd w:fill="FFFFFF" w:val="clear"/>
            <w:shd w:fill="8FBC8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Pr>
                <w:b/>
              </w:rPr>
            </w:r>
            <w:r>
              <w:rPr>
                <w:rFonts w:ascii="Calibri" w:hAnsi="Calibri"/>
                <w:color w:val="1A1A1A"/>
                <w:sz w:val="18"/>
              </w:rPr>
              <w:t>YES</w:t>
            </w:r>
          </w:p>
        </w:tc>
      </w:tr>
      <w:tr>
        <w:tc>
          <w:tcPr>
            <w:tcW w:type="dxa" w:w="2889"/>
            <w:shd w:fill="E6ECE7"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BFI2 → BFT abbr rename (SEC name unchanged)</w:t>
            </w:r>
          </w:p>
        </w:tc>
        <w:tc>
          <w:tcPr>
            <w:tcW w:type="dxa" w:w="2889"/>
            <w:shd w:fill="E6ECE7"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abbr=BFT; SEC TIN 663-440-106-00000 preserved</w:t>
            </w:r>
          </w:p>
        </w:tc>
        <w:tc>
          <w:tcPr>
            <w:tcW w:type="dxa" w:w="2889"/>
            <w:shd w:fill="E6ECE7" w:val="clear"/>
            <w:shd w:fill="8FBC8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Pr>
                <w:b/>
              </w:rPr>
            </w:r>
            <w:r>
              <w:rPr>
                <w:rFonts w:ascii="Calibri" w:hAnsi="Calibri"/>
                <w:color w:val="1A1A1A"/>
                <w:sz w:val="18"/>
              </w:rPr>
              <w:t>YES</w:t>
            </w:r>
          </w:p>
        </w:tc>
      </w:tr>
      <w:tr>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Nothing cancelled or deferred</w:t>
            </w:r>
          </w:p>
        </w:tc>
        <w:tc>
          <w:tcPr>
            <w:tcW w:type="dxa" w:w="2889"/>
            <w:shd w:fill="FFFFF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r/>
            <w:r>
              <w:rPr>
                <w:rFonts w:ascii="Calibri" w:hAnsi="Calibri"/>
                <w:color w:val="1A1A1A"/>
                <w:sz w:val="18"/>
              </w:rPr>
              <w:t>10 in-session deviations (D0-* + D1-*) all RESOLVED</w:t>
            </w:r>
          </w:p>
        </w:tc>
        <w:tc>
          <w:tcPr>
            <w:tcW w:type="dxa" w:w="2889"/>
            <w:shd w:fill="FFFFFF" w:val="clear"/>
            <w:shd w:fill="8FBC8F" w:val="clear"/>
            <w:tcBorders>
              <w:top w:val="single" w:sz="4" w:color="D4D0C8"/>
              <w:left w:val="single" w:sz="4" w:color="D4D0C8"/>
              <w:bottom w:val="single" w:sz="4" w:color="D4D0C8"/>
              <w:right w:val="single" w:sz="4" w:color="D4D0C8"/>
            </w:tcBorders>
            <w:tcMar>
              <w:top w:w="60" w:type="dxa"/>
              <w:bottom w:w="60" w:type="dxa"/>
              <w:start w:w="100" w:type="dxa"/>
              <w:end w:w="100" w:type="dxa"/>
            </w:tcMar>
          </w:tcPr>
          <w:p>
            <w:pPr>
              <w:jc w:val="center"/>
            </w:pPr>
            <w:r>
              <w:rPr>
                <w:b/>
              </w:rPr>
            </w:r>
            <w:r>
              <w:rPr>
                <w:rFonts w:ascii="Calibri" w:hAnsi="Calibri"/>
                <w:color w:val="1A1A1A"/>
                <w:sz w:val="18"/>
              </w:rPr>
              <w:t>YES</w:t>
            </w:r>
          </w:p>
        </w:tc>
      </w:tr>
    </w:tbl>
    <w:p/>
    <w:p>
      <w:r>
        <w:rPr>
          <w:rFonts w:ascii="Calibri" w:hAnsi="Calibri"/>
          <w:b/>
          <w:color w:val="04400A"/>
          <w:sz w:val="26"/>
        </w:rPr>
        <w:t>PHASE RESULTS — All 11 phases PASS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ook w:firstColumn="1" w:firstRow="1" w:lastColumn="0" w:lastRow="0" w:noHBand="0" w:noVBand="1" w:val="04A0"/>
      </w:tblPr>
      <w:tblGrid>
        <w:gridCol w:w="1008"/>
        <w:gridCol w:w="7920"/>
        <w:gridCol w:w="1152"/>
      </w:tblGrid>
      <w:tr>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Phase</w:t>
            </w:r>
          </w:p>
        </w:tc>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Description</w:t>
            </w:r>
          </w:p>
        </w:tc>
        <w:tc>
          <w:tcPr>
            <w:tcW w:type="dxa" w:w="2889"/>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Result</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0</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Boot + Preflight + Audit + DECISIONS.md ratification</w:t>
            </w:r>
          </w:p>
        </w:tc>
        <w:tc>
          <w:tcPr>
            <w:tcW w:type="dxa" w:w="2889"/>
            <w:shd w:fill="FFFFFF"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1</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Safe Sync — A1+A2+A3+A4+A5</w:t>
            </w:r>
          </w:p>
        </w:tc>
        <w:tc>
          <w:tcPr>
            <w:tcW w:type="dxa" w:w="2889"/>
            <w:shd w:fill="E6ECE7"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2</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Templates + B1 BFC + B2 BFT + B3 4 BEI-TIN stubs</w:t>
            </w:r>
          </w:p>
        </w:tc>
        <w:tc>
          <w:tcPr>
            <w:tcW w:type="dxa" w:w="2889"/>
            <w:shd w:fill="FFFFFF"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2.0</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Per-Company Apex→canonical migration map (BEI/BKI/III)</w:t>
            </w:r>
          </w:p>
        </w:tc>
        <w:tc>
          <w:tcPr>
            <w:tcW w:type="dxa" w:w="2889"/>
            <w:shd w:fill="E6ECE7"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3a</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5-root tree seed on all 58 Companies (SSM bench)</w:t>
            </w:r>
          </w:p>
        </w:tc>
        <w:tc>
          <w:tcPr>
            <w:tcW w:type="dxa" w:w="2889"/>
            <w:shd w:fill="FFFFFF"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3b</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BKI Commissary rewrite (combined into C2 mass-normalize)</w:t>
            </w:r>
          </w:p>
        </w:tc>
        <w:tc>
          <w:tcPr>
            <w:tcW w:type="dxa" w:w="2889"/>
            <w:shd w:fill="E6ECE7"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3c</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BEI Head Office rewrite (combined into C2)</w:t>
            </w:r>
          </w:p>
        </w:tc>
        <w:tc>
          <w:tcPr>
            <w:tcW w:type="dxa" w:w="2889"/>
            <w:shd w:fill="FFFFFF"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3.5</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BEI AP/AR suffix → abbr (286 long-suffix renames)</w:t>
            </w:r>
          </w:p>
        </w:tc>
        <w:tc>
          <w:tcPr>
            <w:tcW w:type="dxa" w:w="2889"/>
            <w:shd w:fill="E6ECE7"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4</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4000900 DISCOUNTS AND PROMO renumber</w:t>
            </w:r>
          </w:p>
        </w:tc>
        <w:tc>
          <w:tcPr>
            <w:tcW w:type="dxa" w:w="2889"/>
            <w:shd w:fill="FFFFFF"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5</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UPPER CASE + drop number-prefix (157 renames)</w:t>
            </w:r>
          </w:p>
        </w:tc>
        <w:tc>
          <w:tcPr>
            <w:tcW w:type="dxa" w:w="2889"/>
            <w:shd w:fill="E6ECE7"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6</w:t>
            </w:r>
          </w:p>
        </w:tc>
        <w:tc>
          <w:tcPr>
            <w:tcW w:type="dxa" w:w="2889"/>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Bridge QBO handoff package (58 CSVs + manifests)</w:t>
            </w:r>
          </w:p>
        </w:tc>
        <w:tc>
          <w:tcPr>
            <w:tcW w:type="dxa" w:w="2889"/>
            <w:shd w:fill="FFFFFF"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r>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7</w:t>
            </w:r>
          </w:p>
        </w:tc>
        <w:tc>
          <w:tcPr>
            <w:tcW w:type="dxa" w:w="2889"/>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Closeout (DECISIONS.md + plan COMPLETED + PR)</w:t>
            </w:r>
          </w:p>
        </w:tc>
        <w:tc>
          <w:tcPr>
            <w:tcW w:type="dxa" w:w="2889"/>
            <w:shd w:fill="E6ECE7" w:val="clear"/>
            <w:shd w:fill="8FBC8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PASS</w:t>
            </w:r>
          </w:p>
        </w:tc>
      </w:tr>
    </w:tbl>
    <w:p/>
    <w:p>
      <w:r>
        <w:rPr>
          <w:rFonts w:ascii="Calibri" w:hAnsi="Calibri"/>
          <w:b/>
          <w:color w:val="04400A"/>
          <w:sz w:val="26"/>
        </w:rPr>
        <w:t>KNOWN COSMETIC DELTAS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ind w:firstLine="720"/>
      </w:pPr>
      <w:r>
        <w:rPr>
          <w:rFonts w:ascii="Calibri" w:hAnsi="Calibri"/>
        </w:rPr>
        <w:t>Five non-blocking cosmetic items remain in Frappe state. Bridge can import the 58 CSVs as-is and address these during QBO sandbox iteration or in a follow-up S259 cleanup sprint if stricter classification is desired.</w:t>
      </w:r>
    </w:p>
    <w:tbl>
      <w:tblPr>
        <w:tblW w:type="auto" w:w="0"/>
        <w:jc w:val="center"/>
        <w:tblLook w:firstColumn="1" w:firstRow="1" w:lastColumn="0" w:lastRow="0" w:noHBand="0" w:noVBand="1" w:val="04A0"/>
      </w:tblPr>
      <w:tblGrid>
        <w:gridCol w:w="576"/>
        <w:gridCol w:w="4176"/>
        <w:gridCol w:w="1728"/>
        <w:gridCol w:w="1152"/>
        <w:gridCol w:w="2448"/>
      </w:tblGrid>
      <w:tr>
        <w:tc>
          <w:tcPr>
            <w:tcW w:type="dxa" w:w="1733"/>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w:t>
            </w:r>
          </w:p>
        </w:tc>
        <w:tc>
          <w:tcPr>
            <w:tcW w:type="dxa" w:w="1733"/>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Delta</w:t>
            </w:r>
          </w:p>
        </w:tc>
        <w:tc>
          <w:tcPr>
            <w:tcW w:type="dxa" w:w="1733"/>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Affected</w:t>
            </w:r>
          </w:p>
        </w:tc>
        <w:tc>
          <w:tcPr>
            <w:tcW w:type="dxa" w:w="1733"/>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Severity</w:t>
            </w:r>
          </w:p>
        </w:tc>
        <w:tc>
          <w:tcPr>
            <w:tcW w:type="dxa" w:w="1733"/>
            <w:shd w:fill="04400A"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b/>
                <w:color w:val="FFFFFF"/>
                <w:sz w:val="20"/>
              </w:rPr>
              <w:t>Recommendation</w:t>
            </w:r>
          </w:p>
        </w:tc>
      </w:tr>
      <w:tr>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1</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III still carries both old (4000201-206) AND new (4000901-903) discount account_numbers.</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III only</w:t>
            </w:r>
          </w:p>
        </w:tc>
        <w:tc>
          <w:tcPr>
            <w:tcW w:type="dxa" w:w="1733"/>
            <w:shd w:fill="FFFFFF" w:val="clear"/>
            <w:shd w:fill="CDD8CE"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LOW</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Keep both or delete 4000201-206 on III in sandbox.</w:t>
            </w:r>
          </w:p>
        </w:tc>
      </w:tr>
      <w:tr>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2</w:t>
            </w:r>
          </w:p>
        </w:tc>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BEI `STOCK ADJUSTMENT - BEI` sits under `LOCAL AD &amp; PROMO - BEI` Expense group instead of `Direct Expenses - BEI`.</w:t>
            </w:r>
          </w:p>
        </w:tc>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BEI only</w:t>
            </w:r>
          </w:p>
        </w:tc>
        <w:tc>
          <w:tcPr>
            <w:tcW w:type="dxa" w:w="1733"/>
            <w:shd w:fill="E6ECE7" w:val="clear"/>
            <w:shd w:fill="CDD8CE"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LOW</w:t>
            </w:r>
          </w:p>
        </w:tc>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Reparent in QBO post-import; no operational impact.</w:t>
            </w:r>
          </w:p>
        </w:tc>
      </w:tr>
      <w:tr>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3</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Some BEI / III accounts retained number prefix in docname (e.g. `4000100 - STORE SALES - BEI`).</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BEI ~283, III ~36</w:t>
            </w:r>
          </w:p>
        </w:tc>
        <w:tc>
          <w:tcPr>
            <w:tcW w:type="dxa" w:w="1733"/>
            <w:shd w:fill="FFFFFF" w:val="clear"/>
            <w:shd w:fill="F8F0D9"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COSMETIC</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QBO uses AccountNumber + AccountName columns separately. Zero impact.</w:t>
            </w:r>
          </w:p>
        </w:tc>
      </w:tr>
      <w:tr>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4</w:t>
            </w:r>
          </w:p>
        </w:tc>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BFC Fork 1 scaffolding docnames retain number prefix (`1104200 - DUE FROM BEI - BFC`).</w:t>
            </w:r>
          </w:p>
        </w:tc>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BFC, BEI</w:t>
            </w:r>
          </w:p>
        </w:tc>
        <w:tc>
          <w:tcPr>
            <w:tcW w:type="dxa" w:w="1733"/>
            <w:shd w:fill="E6ECE7" w:val="clear"/>
            <w:shd w:fill="F8F0D9"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COSMETIC</w:t>
            </w:r>
          </w:p>
        </w:tc>
        <w:tc>
          <w:tcPr>
            <w:tcW w:type="dxa" w:w="1733"/>
            <w:shd w:fill="E6ECE7"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Same as #3.</w:t>
            </w:r>
          </w:p>
        </w:tc>
      </w:tr>
      <w:tr>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
              <w:rPr>
                <w:rFonts w:ascii="Calibri" w:hAnsi="Calibri"/>
                <w:color w:val="1A1A1A"/>
                <w:sz w:val="18"/>
              </w:rPr>
              <w:t>5</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QBO DetailType is best-effort for unmapped Frappe account_types.</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All Companies</w:t>
            </w:r>
          </w:p>
        </w:tc>
        <w:tc>
          <w:tcPr>
            <w:tcW w:type="dxa" w:w="1733"/>
            <w:shd w:fill="FFFFFF" w:val="clear"/>
            <w:shd w:fill="F2E5F5"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pPr>
              <w:jc w:val="center"/>
            </w:pPr>
            <w:r>
              <w:rPr>
                <w:b/>
              </w:rPr>
            </w:r>
            <w:r>
              <w:rPr>
                <w:rFonts w:ascii="Calibri" w:hAnsi="Calibri"/>
                <w:color w:val="1A1A1A"/>
                <w:sz w:val="18"/>
              </w:rPr>
              <w:t>KNOWN</w:t>
            </w:r>
          </w:p>
        </w:tc>
        <w:tc>
          <w:tcPr>
            <w:tcW w:type="dxa" w:w="1733"/>
            <w:shd w:fill="FFFFFF" w:val="clear"/>
            <w:tcBorders>
              <w:top w:val="single" w:sz="4" w:color="D4D0C8"/>
              <w:left w:val="single" w:sz="4" w:color="D4D0C8"/>
              <w:bottom w:val="single" w:sz="4" w:color="D4D0C8"/>
              <w:right w:val="single" w:sz="4" w:color="D4D0C8"/>
            </w:tcBorders>
            <w:tcMar>
              <w:top w:w="50" w:type="dxa"/>
              <w:bottom w:w="50" w:type="dxa"/>
              <w:start w:w="80" w:type="dxa"/>
              <w:end w:w="80" w:type="dxa"/>
            </w:tcMar>
          </w:tcPr>
          <w:p>
            <w:r/>
            <w:r>
              <w:rPr>
                <w:rFonts w:ascii="Calibri" w:hAnsi="Calibri"/>
                <w:color w:val="1A1A1A"/>
                <w:sz w:val="18"/>
              </w:rPr>
              <w:t>QBO sandbox import surfaces rejected DetailType; iterate. Map handles 18 explicit + 5 fallbacks.</w:t>
            </w:r>
          </w:p>
        </w:tc>
      </w:tr>
    </w:tbl>
    <w:p/>
    <w:p>
      <w:r>
        <w:rPr>
          <w:rFonts w:ascii="Calibri" w:hAnsi="Calibri"/>
          <w:b/>
          <w:color w:val="04400A"/>
          <w:sz w:val="26"/>
        </w:rPr>
        <w:t>AUTHORIZATION &amp; ACKNOWLEDGMENT</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By signing below, the BEI CEO releases the S258 deliverable (Bridge Consulting QBO Handoff Package) for use in the QuickBooks Online migration. Bridge Consulting acknowledges receipt and assumes responsibility for QBO sandbox import and any DetailType iteration required during testing.</w:t>
      </w:r>
    </w:p>
    <w:tbl>
      <w:tblPr>
        <w:tblW w:type="auto" w:w="0"/>
        <w:jc w:val="center"/>
        <w:tblLook w:firstColumn="1" w:firstRow="1" w:lastColumn="0" w:lastRow="0" w:noHBand="0" w:noVBand="1" w:val="04A0"/>
      </w:tblPr>
      <w:tblGrid>
        <w:gridCol w:w="5040"/>
        <w:gridCol w:w="5040"/>
      </w:tblGrid>
      <w:tr>
        <w:tc>
          <w:tcPr>
            <w:tcW w:type="dxa" w:w="4333"/>
            <w:shd w:fill="E6ECE7" w:val="clear"/>
            <w:tcBorders>
              <w:top w:val="single" w:sz="12" w:color="C8900A"/>
              <w:left w:val="single" w:sz="12" w:color="C8900A"/>
              <w:bottom w:val="single" w:sz="12" w:color="C8900A"/>
              <w:right w:val="single" w:sz="12" w:color="C8900A"/>
            </w:tcBorders>
            <w:tcMar>
              <w:top w:w="200" w:type="dxa"/>
              <w:bottom w:w="200" w:type="dxa"/>
              <w:start w:w="200" w:type="dxa"/>
              <w:end w:w="200" w:type="dxa"/>
            </w:tcMar>
          </w:tcPr>
          <w:p>
            <w:r/>
            <w:r>
              <w:rPr>
                <w:rFonts w:ascii="Calibri" w:hAnsi="Calibri"/>
                <w:b/>
                <w:color w:val="04400A"/>
                <w:sz w:val="20"/>
              </w:rPr>
              <w:t>RELEASED BY (BEI):</w:t>
            </w:r>
          </w:p>
          <w:p/>
          <w:p/>
          <w:p>
            <w:r>
              <w:rPr>
                <w:rFonts w:ascii="Calibri" w:hAnsi="Calibri"/>
                <w:sz w:val="20"/>
              </w:rPr>
              <w:t>_____________________________________</w:t>
            </w:r>
          </w:p>
          <w:p>
            <w:r>
              <w:rPr>
                <w:rFonts w:ascii="Calibri" w:hAnsi="Calibri"/>
                <w:b/>
                <w:color w:val="1A1A1A"/>
                <w:sz w:val="22"/>
              </w:rPr>
              <w:t>Sam Karazi</w:t>
            </w:r>
          </w:p>
          <w:p>
            <w:r>
              <w:rPr>
                <w:rFonts w:ascii="Calibri" w:hAnsi="Calibri"/>
                <w:color w:val="666666"/>
                <w:sz w:val="18"/>
              </w:rPr>
              <w:t>Chief Executive Officer</w:t>
            </w:r>
          </w:p>
          <w:p>
            <w:r>
              <w:rPr>
                <w:rFonts w:ascii="Calibri" w:hAnsi="Calibri"/>
                <w:i/>
                <w:color w:val="666666"/>
                <w:sz w:val="18"/>
              </w:rPr>
              <w:t>Bebang Enterprise Inc.</w:t>
            </w:r>
          </w:p>
          <w:p>
            <w:r>
              <w:rPr>
                <w:rFonts w:ascii="Calibri" w:hAnsi="Calibri"/>
                <w:color w:val="1A1A1A"/>
                <w:sz w:val="20"/>
              </w:rPr>
              <w:t>Date: ______________________</w:t>
            </w:r>
          </w:p>
        </w:tc>
        <w:tc>
          <w:tcPr>
            <w:tcW w:type="dxa" w:w="4333"/>
            <w:shd w:fill="E6ECE7" w:val="clear"/>
            <w:tcBorders>
              <w:top w:val="single" w:sz="12" w:color="C8900A"/>
              <w:left w:val="single" w:sz="12" w:color="C8900A"/>
              <w:bottom w:val="single" w:sz="12" w:color="C8900A"/>
              <w:right w:val="single" w:sz="12" w:color="C8900A"/>
            </w:tcBorders>
            <w:tcMar>
              <w:top w:w="200" w:type="dxa"/>
              <w:bottom w:w="200" w:type="dxa"/>
              <w:start w:w="200" w:type="dxa"/>
              <w:end w:w="200" w:type="dxa"/>
            </w:tcMar>
          </w:tcPr>
          <w:p>
            <w:r/>
            <w:r>
              <w:rPr>
                <w:rFonts w:ascii="Calibri" w:hAnsi="Calibri"/>
                <w:b/>
                <w:color w:val="04400A"/>
                <w:sz w:val="20"/>
              </w:rPr>
              <w:t>ACKNOWLEDGED BY (BRIDGE):</w:t>
            </w:r>
          </w:p>
          <w:p/>
          <w:p/>
          <w:p>
            <w:r>
              <w:rPr>
                <w:rFonts w:ascii="Calibri" w:hAnsi="Calibri"/>
                <w:sz w:val="20"/>
              </w:rPr>
              <w:t>_____________________________________</w:t>
            </w:r>
          </w:p>
          <w:p>
            <w:r>
              <w:rPr>
                <w:rFonts w:ascii="Calibri" w:hAnsi="Calibri"/>
                <w:b/>
                <w:color w:val="1A1A1A"/>
                <w:sz w:val="22"/>
              </w:rPr>
              <w:t>_______________________________</w:t>
            </w:r>
          </w:p>
          <w:p>
            <w:r>
              <w:rPr>
                <w:rFonts w:ascii="Calibri" w:hAnsi="Calibri"/>
                <w:color w:val="666666"/>
                <w:sz w:val="18"/>
              </w:rPr>
              <w:t>(Print Name &amp; Title)</w:t>
            </w:r>
          </w:p>
          <w:p>
            <w:r>
              <w:rPr>
                <w:rFonts w:ascii="Calibri" w:hAnsi="Calibri"/>
                <w:i/>
                <w:color w:val="666666"/>
                <w:sz w:val="18"/>
              </w:rPr>
              <w:t>Bridge Consulting</w:t>
            </w:r>
          </w:p>
          <w:p>
            <w:r>
              <w:rPr>
                <w:rFonts w:ascii="Calibri" w:hAnsi="Calibri"/>
                <w:color w:val="1A1A1A"/>
                <w:sz w:val="20"/>
              </w:rPr>
              <w:t>Date: ______________________</w:t>
            </w:r>
          </w:p>
        </w:tc>
      </w:tr>
    </w:tbl>
    <w:p>
      <w:pPr>
        <w:spacing w:before="400" w:after="0"/>
        <w:jc w:val="center"/>
      </w:pPr>
      <w:r>
        <w:rPr>
          <w:rFonts w:ascii="Calibri" w:hAnsi="Calibri"/>
          <w:i/>
          <w:color w:val="666666"/>
          <w:sz w:val="18"/>
        </w:rPr>
        <w:t>— END OF SIGN-OFF —</w:t>
      </w:r>
    </w:p>
    <w:p>
      <w:pPr>
        <w:spacing w:before="40" w:after="0"/>
        <w:jc w:val="center"/>
      </w:pPr>
      <w:r>
        <w:rPr>
          <w:rFonts w:ascii="Calibri" w:hAnsi="Calibri"/>
          <w:color w:val="666666"/>
          <w:sz w:val="16"/>
        </w:rPr>
        <w:t>Bebang Enterprise Inc. — Confidential — For Bridge Consulting use only</w:t>
      </w:r>
    </w:p>
    <w:p>
      <w:pPr>
        <w:spacing w:before="20" w:after="0"/>
        <w:jc w:val="center"/>
      </w:pPr>
      <w:r>
        <w:rPr>
          <w:rFonts w:ascii="Calibri" w:hAnsi="Calibri"/>
          <w:color w:val="666666"/>
          <w:sz w:val="16"/>
        </w:rPr>
        <w:t>Generated 2026-06-04 from S258 sprint closeout — see hrms PR #770</w:t>
      </w:r>
    </w:p>
    <w:sectPr w:rsidR="00FC693F" w:rsidRPr="0006063C" w:rsidSect="00034616">
      <w:pgSz w:w="11906" w:h="16838"/>
      <w:pgMar w:top="144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