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2160"/>
      </w:tblGrid>
      <w:tr>
        <w:tc>
          <w:tcPr>
            <w:tcW w:type="dxa" w:w="4333"/>
            <w:tcMar>
              <w:top w:w="100" w:type="dxa"/>
              <w:bottom w:w="10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8"/>
              </w:rPr>
              <w:t>BEBANG ENTERPRISE INC.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Unit 2409 Capital House Lane S, Bonifacio Global City, Taguig City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(02) 8818-3620</w:t>
            </w:r>
          </w:p>
        </w:tc>
        <w:tc>
          <w:tcPr>
            <w:tcW w:type="dxa" w:w="4333"/>
            <w:tcMar>
              <w:top w:w="50" w:type="dxa"/>
              <w:bottom w:w="5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 descr="Bebang Enterprise Inc. logo" title="BEI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jc w:val="center"/>
        <w:spacing w:before="0" w:after="20"/>
      </w:pPr>
      <w:r>
        <w:rPr>
          <w:rFonts w:ascii="Calibri" w:hAnsi="Calibri"/>
          <w:b/>
          <w:color w:val="04400A"/>
          <w:sz w:val="44"/>
        </w:rPr>
        <w:t>S210 Receipt-Based Payment Infrastructure</w:t>
      </w:r>
    </w:p>
    <w:p>
      <w:pPr>
        <w:jc w:val="center"/>
        <w:spacing w:before="0" w:after="160"/>
      </w:pPr>
      <w:r>
        <w:rPr>
          <w:rFonts w:ascii="Calibri" w:hAnsi="Calibri"/>
          <w:i/>
          <w:color w:val="666666"/>
          <w:sz w:val="24"/>
        </w:rPr>
        <w:t>Master Index — team-by-team guide to which sheets to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F8F0D9" w:val="clear"/>
            <w:tcBorders>
              <w:top w:val="single" w:sz="18" w:color="C8900A"/>
              <w:left w:val="single" w:sz="18" w:color="C8900A"/>
              <w:bottom w:val="single" w:sz="18" w:color="C8900A"/>
              <w:right w:val="single" w:sz="18" w:color="C8900A"/>
            </w:tcBorders>
            <w:tcMar>
              <w:top w:w="180" w:type="dxa"/>
              <w:bottom w:w="180" w:type="dxa"/>
              <w:start w:w="240" w:type="dxa"/>
              <w:end w:w="24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C8900A"/>
                <w:sz w:val="28"/>
              </w:rPr>
              <w:t>Why this exists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Before S210, BEI waited for paper SIs to travel from 3PL warehouses to our accounting team before starting supplier payments. Delays were routine; supplier goodwill suffered.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1A1A1A"/>
                <w:sz w:val="22"/>
              </w:rPr>
              <w:t>S210 replaces paper-SI-forwarding with a parallel DR + supplier-upload pipeline. Suppliers get paid on their contracted Net terms counted from delivery date. No paper-chase.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04400A"/>
          <w:sz w:val="28"/>
        </w:rPr>
        <w:t>Live resources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168"/>
        <w:gridCol w:w="2016"/>
      </w:tblGrid>
      <w:tr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Resource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Who uses it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Link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Sheet A — 3MD Receiving Log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3MD editor + BEI team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A (click below)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Sheet B — Pinnacle Receiving Log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Pinnacle editor + BEI team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B (click below)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Sheet C — BEI Receiving Master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BEI internal only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C (click below)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Sheet D — Shaw Transitional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BEI internal only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D (click below)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Supplier SI Upload Form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98 suppliers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Form (click below)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Apps Script project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Sam, IT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Script (click below)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Cloud Scheduler console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Sam, Ian (read-only)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GCP (click below)</w:t>
            </w:r>
          </w:p>
        </w:tc>
      </w:tr>
    </w:tbl>
    <w:p/>
    <w:p>
      <w:pPr>
        <w:spacing w:before="20" w:after="40"/>
      </w:pPr>
      <w:r>
        <w:rPr>
          <w:rFonts w:ascii="Calibri" w:hAnsi="Calibri"/>
          <w:b/>
          <w:color w:val="1A1A1A"/>
          <w:sz w:val="21"/>
        </w:rPr>
        <w:t xml:space="preserve">• Sheet A — 3MD Receiving Log: </w:t>
      </w:r>
      <w:hyperlink r:id="rId10">
        <w:r>
          <w:rPr>
            <w:color w:val="04400A"/>
            <w:u w:val="single"/>
            <w:rFonts w:ascii="Calibri" w:hAnsi="Calibri"/>
            <w:sz w:val="20"/>
          </w:rPr>
          <w:t xml:space="preserve">https://docs.google.com/spreadsheets/d/1dambmiLzSMWOQun7MCymK4nHpuqrarFCAOK0G9-6oIU/edit</w:t>
        </w:r>
      </w:hyperlink>
    </w:p>
    <w:p>
      <w:pPr>
        <w:spacing w:before="20" w:after="40"/>
      </w:pPr>
      <w:r>
        <w:rPr>
          <w:rFonts w:ascii="Calibri" w:hAnsi="Calibri"/>
          <w:b/>
          <w:color w:val="1A1A1A"/>
          <w:sz w:val="21"/>
        </w:rPr>
        <w:t xml:space="preserve">• Sheet B — Pinnacle Receiving Log: </w:t>
      </w:r>
      <w:hyperlink r:id="rId11">
        <w:r>
          <w:rPr>
            <w:color w:val="04400A"/>
            <w:u w:val="single"/>
            <w:rFonts w:ascii="Calibri" w:hAnsi="Calibri"/>
            <w:sz w:val="20"/>
          </w:rPr>
          <w:t xml:space="preserve">https://docs.google.com/spreadsheets/d/10fqnvF_uDl5ky3MkvXUmWvZ1fYat_p6XFGmVFc3vqrw/edit</w:t>
        </w:r>
      </w:hyperlink>
    </w:p>
    <w:p>
      <w:pPr>
        <w:spacing w:before="20" w:after="40"/>
      </w:pPr>
      <w:r>
        <w:rPr>
          <w:rFonts w:ascii="Calibri" w:hAnsi="Calibri"/>
          <w:b/>
          <w:color w:val="1A1A1A"/>
          <w:sz w:val="21"/>
        </w:rPr>
        <w:t xml:space="preserve">• Sheet C — BEI Receiving Master: </w:t>
      </w:r>
      <w:hyperlink r:id="rId12">
        <w:r>
          <w:rPr>
            <w:color w:val="04400A"/>
            <w:u w:val="single"/>
            <w:rFonts w:ascii="Calibri" w:hAnsi="Calibri"/>
            <w:sz w:val="20"/>
          </w:rPr>
          <w:t xml:space="preserve">https://docs.google.com/spreadsheets/d/1_Ir5O5AW7hOjcvCTXsP06cF3sai9hcefDFrBOTRHOh0/edit</w:t>
        </w:r>
      </w:hyperlink>
    </w:p>
    <w:p>
      <w:pPr>
        <w:spacing w:before="20" w:after="40"/>
      </w:pPr>
      <w:r>
        <w:rPr>
          <w:rFonts w:ascii="Calibri" w:hAnsi="Calibri"/>
          <w:b/>
          <w:color w:val="1A1A1A"/>
          <w:sz w:val="21"/>
        </w:rPr>
        <w:t xml:space="preserve">• Sheet D — Shaw Transitional: </w:t>
      </w:r>
      <w:hyperlink r:id="rId13">
        <w:r>
          <w:rPr>
            <w:color w:val="04400A"/>
            <w:u w:val="single"/>
            <w:rFonts w:ascii="Calibri" w:hAnsi="Calibri"/>
            <w:sz w:val="20"/>
          </w:rPr>
          <w:t xml:space="preserve">https://docs.google.com/spreadsheets/d/1mbJiLW9M9e-AmrXSRRTtbRP-xKI16ah5rakOt6qv2As/edit</w:t>
        </w:r>
      </w:hyperlink>
    </w:p>
    <w:p>
      <w:pPr>
        <w:spacing w:before="20" w:after="40"/>
      </w:pPr>
      <w:r>
        <w:rPr>
          <w:rFonts w:ascii="Calibri" w:hAnsi="Calibri"/>
          <w:b/>
          <w:color w:val="1A1A1A"/>
          <w:sz w:val="21"/>
        </w:rPr>
        <w:t xml:space="preserve">• Supplier SI Upload Form: </w:t>
      </w:r>
      <w:hyperlink r:id="rId14">
        <w:r>
          <w:rPr>
            <w:color w:val="04400A"/>
            <w:u w:val="single"/>
            <w:rFonts w:ascii="Calibri" w:hAnsi="Calibri"/>
            <w:sz w:val="20"/>
          </w:rPr>
          <w:t xml:space="preserve">https://docs.google.com/forms/d/e/1FAIpQLSc3UC9f_3gefDYNgpOqNx7UCw_5BDrRh9T8-GQeyHHWSxdITw/viewform</w:t>
        </w:r>
      </w:hyperlink>
    </w:p>
    <w:p>
      <w:pPr>
        <w:spacing w:before="20" w:after="40"/>
      </w:pPr>
      <w:r>
        <w:rPr>
          <w:rFonts w:ascii="Calibri" w:hAnsi="Calibri"/>
          <w:b/>
          <w:color w:val="1A1A1A"/>
          <w:sz w:val="21"/>
        </w:rPr>
        <w:t xml:space="preserve">• Apps Script project: </w:t>
      </w:r>
      <w:hyperlink r:id="rId15">
        <w:r>
          <w:rPr>
            <w:color w:val="04400A"/>
            <w:u w:val="single"/>
            <w:rFonts w:ascii="Calibri" w:hAnsi="Calibri"/>
            <w:sz w:val="20"/>
          </w:rPr>
          <w:t xml:space="preserve">https://script.google.com/d/1lsvOlv1rGEvXl_1zms4SURlsLUZk7CxRhg2NyBDrDHh4fDjuioFZhi2S/edit</w:t>
        </w:r>
      </w:hyperlink>
    </w:p>
    <w:p>
      <w:pPr>
        <w:spacing w:before="20" w:after="40"/>
      </w:pPr>
      <w:r>
        <w:rPr>
          <w:rFonts w:ascii="Calibri" w:hAnsi="Calibri"/>
          <w:b/>
          <w:color w:val="1A1A1A"/>
          <w:sz w:val="21"/>
        </w:rPr>
        <w:t xml:space="preserve">• Cloud Scheduler console: </w:t>
      </w:r>
      <w:hyperlink r:id="rId16">
        <w:r>
          <w:rPr>
            <w:color w:val="04400A"/>
            <w:u w:val="single"/>
            <w:rFonts w:ascii="Calibri" w:hAnsi="Calibri"/>
            <w:sz w:val="20"/>
          </w:rPr>
          <w:t xml:space="preserve">https://console.cloud.google.com/cloudscheduler?project=quiet-walker-475722-s2</w:t>
        </w:r>
      </w:hyperlink>
    </w:p>
    <w:p>
      <w:pPr>
        <w:spacing w:before="200" w:after="40"/>
      </w:pPr>
      <w:r>
        <w:rPr>
          <w:rFonts w:ascii="Calibri" w:hAnsi="Calibri"/>
          <w:b/>
          <w:color w:val="04400A"/>
          <w:sz w:val="28"/>
        </w:rPr>
        <w:t>Guides — by role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304"/>
        <w:gridCol w:w="3888"/>
      </w:tblGrid>
      <w:tr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Guide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For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What they get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Supplier SI Upload FAQ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98 BEI suppliers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How to upload + why it speeds payment. Attach to rollout emails.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3PL Dock Quick Card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3MD + Pinnacle dock staff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One-page print / laminate. How to log a delivery in 30 seconds.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Supplier Rollout Playbook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Cayla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4-wave rollout plan, email template, objection handling.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Ian Daily Ops Playbook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Ian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Morning + afternoon + weekly checklists. KPI thresholds. Escalation.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Finance Reconciliation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Denise (2026-04-28+)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Daily / weekly / monthly reconciliation. Approval chain. BIR rules.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04400A"/>
          <w:sz w:val="28"/>
        </w:rPr>
        <w:t>Who uses which sheet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2592"/>
      </w:tblGrid>
      <w:tr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Team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Writes to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Reads from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3MD dock staff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A Receipts tab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Pinnacle dock staff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B Receipts tab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Shaw dock (transitional)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D Receipts tab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Suppliers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Upload Form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Ian (daily ops)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C Match Queue + Variance Queue resolutions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All sheets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Cayla (supplier master, rollout)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Procurement AppSheet Suppliers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C Dashboard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Ashish (Frappe automation)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Frappe GRs + RFPs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C 06_Pending_GR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Luwi (AP prep)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Frappe RFPs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C 03_Supplier_SI_Uploads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Mae (approvals ≤ ₱1M)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Frappe RFP approval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Frappe pending RFPs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Denise (reconciliation)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Frappe adjustments, BIR filings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Sheet C + Frappe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Sam (CEO oversight)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Daily 07:00 KPI email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04400A"/>
          <w:sz w:val="28"/>
        </w:rPr>
        <w:t>Automation — what runs on its own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Job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Schedule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What it does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s210-poll-all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every minute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Picks up new 3PL receipts + supplier uploads → Sheet C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s210-age-variance-hourly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every hour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Moves DRs &gt; 72h w/o SI match into Variance Queue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s210-refresh-masters-06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daily 06:00 PHT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Pulls Suppliers + POs from Procurement AppSheet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s210-ceo-email-07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daily 07:00 PHT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A1A1A"/>
                <w:sz w:val="20"/>
              </w:rPr>
              <w:t>Sends KPI digest to Sam + Ian</w:t>
            </w:r>
          </w:p>
        </w:tc>
      </w:tr>
    </w:tbl>
    <w:p/>
    <w:p>
      <w:pPr>
        <w:jc w:val="center"/>
        <w:spacing w:before="240" w:after="0"/>
      </w:pPr>
      <w:r>
        <w:rPr>
          <w:rFonts w:ascii="Calibri" w:hAnsi="Calibri"/>
          <w:i/>
          <w:color w:val="666666"/>
          <w:sz w:val="18"/>
        </w:rPr>
        <w:t>v2026-04-21 · Sprint S210 · Receipt-Based Payment Infrastructure</w:t>
      </w:r>
    </w:p>
    <w:sectPr w:rsidR="00FC693F" w:rsidRPr="0006063C" w:rsidSect="00034616">
      <w:pgSz w:w="11906" w:h="16838"/>
      <w:pgMar w:top="1440" w:right="144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cs.google.com/spreadsheets/d/1dambmiLzSMWOQun7MCymK4nHpuqrarFCAOK0G9-6oIU/edit" TargetMode="External"/><Relationship Id="rId11" Type="http://schemas.openxmlformats.org/officeDocument/2006/relationships/hyperlink" Target="https://docs.google.com/spreadsheets/d/10fqnvF_uDl5ky3MkvXUmWvZ1fYat_p6XFGmVFc3vqrw/edit" TargetMode="External"/><Relationship Id="rId12" Type="http://schemas.openxmlformats.org/officeDocument/2006/relationships/hyperlink" Target="https://docs.google.com/spreadsheets/d/1_Ir5O5AW7hOjcvCTXsP06cF3sai9hcefDFrBOTRHOh0/edit" TargetMode="External"/><Relationship Id="rId13" Type="http://schemas.openxmlformats.org/officeDocument/2006/relationships/hyperlink" Target="https://docs.google.com/spreadsheets/d/1mbJiLW9M9e-AmrXSRRTtbRP-xKI16ah5rakOt6qv2As/edit" TargetMode="External"/><Relationship Id="rId14" Type="http://schemas.openxmlformats.org/officeDocument/2006/relationships/hyperlink" Target="https://docs.google.com/forms/d/e/1FAIpQLSc3UC9f_3gefDYNgpOqNx7UCw_5BDrRh9T8-GQeyHHWSxdITw/viewform" TargetMode="External"/><Relationship Id="rId15" Type="http://schemas.openxmlformats.org/officeDocument/2006/relationships/hyperlink" Target="https://script.google.com/d/1lsvOlv1rGEvXl_1zms4SURlsLUZk7CxRhg2NyBDrDHh4fDjuioFZhi2S/edit" TargetMode="External"/><Relationship Id="rId16" Type="http://schemas.openxmlformats.org/officeDocument/2006/relationships/hyperlink" Target="https://console.cloud.google.com/cloudscheduler?project=quiet-walker-475722-s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