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20"/>
        <w:gridCol w:w="2160"/>
      </w:tblGrid>
      <w:tr>
        <w:tc>
          <w:tcPr>
            <w:tcW w:type="dxa" w:w="4333"/>
            <w:tcMar>
              <w:top w:w="100" w:type="dxa"/>
              <w:bottom w:w="100" w:type="dxa"/>
              <w:start w:w="0" w:type="dxa"/>
              <w:end w:w="0" w:type="dxa"/>
            </w:tcMar>
            <w:tcBorders>
              <w:top w:val="none"/>
              <w:left w:val="none"/>
              <w:bottom w:val="none"/>
              <w:right w:val="none"/>
            </w:tcBorders>
          </w:tcPr>
          <w:p>
            <w:pPr>
              <w:spacing w:before="0" w:after="40"/>
            </w:pPr>
            <w:r>
              <w:rPr>
                <w:rFonts w:ascii="Calibri" w:hAnsi="Calibri"/>
                <w:b/>
                <w:color w:val="04400A"/>
                <w:sz w:val="28"/>
              </w:rPr>
              <w:t>BEBANG ENTERPRISE INC.</w:t>
            </w:r>
          </w:p>
          <w:p>
            <w:pPr>
              <w:spacing w:before="0" w:after="0"/>
            </w:pPr>
            <w:r>
              <w:rPr>
                <w:rFonts w:ascii="Calibri" w:hAnsi="Calibri"/>
                <w:color w:val="666666"/>
                <w:sz w:val="18"/>
              </w:rPr>
              <w:t>Unit 2409 Capital House Lane S, Bonifacio Global City, Taguig City</w:t>
            </w:r>
          </w:p>
          <w:p>
            <w:pPr>
              <w:spacing w:before="0" w:after="0"/>
            </w:pPr>
            <w:r>
              <w:rPr>
                <w:rFonts w:ascii="Calibri" w:hAnsi="Calibri"/>
                <w:color w:val="666666"/>
                <w:sz w:val="18"/>
              </w:rPr>
              <w:t>(02) 8818-3620</w:t>
            </w:r>
          </w:p>
        </w:tc>
        <w:tc>
          <w:tcPr>
            <w:tcW w:type="dxa" w:w="4333"/>
            <w:tcMar>
              <w:top w:w="50" w:type="dxa"/>
              <w:bottom w:w="50" w:type="dxa"/>
              <w:start w:w="0" w:type="dxa"/>
              <w:end w:w="0" w:type="dxa"/>
            </w:tcMar>
            <w:tcBorders>
              <w:top w:val="none"/>
              <w:left w:val="none"/>
              <w:bottom w:val="none"/>
              <w:right w:val="none"/>
            </w:tcBorders>
          </w:tcPr>
          <w:p>
            <w:pPr>
              <w:jc w:val="right"/>
            </w:pPr>
            <w:r>
              <w:drawing>
                <wp:inline xmlns:a="http://schemas.openxmlformats.org/drawingml/2006/main" xmlns:pic="http://schemas.openxmlformats.org/drawingml/2006/picture">
                  <wp:extent cx="914400" cy="914400"/>
                  <wp:docPr id="1" name="Picture 1" descr="Bebang Enterprise Inc. logo" title="BEI Logo"/>
                  <wp:cNvGraphicFramePr>
                    <a:graphicFrameLocks noChangeAspect="1"/>
                  </wp:cNvGraphicFramePr>
                  <a:graphic>
                    <a:graphicData uri="http://schemas.openxmlformats.org/drawingml/2006/picture">
                      <pic:pic>
                        <pic:nvPicPr>
                          <pic:cNvPr id="0" name="bei_logo.png"/>
                          <pic:cNvPicPr/>
                        </pic:nvPicPr>
                        <pic:blipFill>
                          <a:blip r:embed="rId9"/>
                          <a:stretch>
                            <a:fillRect/>
                          </a:stretch>
                        </pic:blipFill>
                        <pic:spPr>
                          <a:xfrm>
                            <a:off x="0" y="0"/>
                            <a:ext cx="914400" cy="914400"/>
                          </a:xfrm>
                          <a:prstGeom prst="rect"/>
                        </pic:spPr>
                      </pic:pic>
                    </a:graphicData>
                  </a:graphic>
                </wp:inline>
              </w:drawing>
            </w:r>
          </w:p>
        </w:tc>
      </w:tr>
    </w:tbl>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jc w:val="center"/>
        <w:spacing w:before="0" w:after="40"/>
      </w:pPr>
      <w:r>
        <w:rPr>
          <w:rFonts w:ascii="Calibri" w:hAnsi="Calibri"/>
          <w:b/>
          <w:color w:val="04400A"/>
          <w:sz w:val="36"/>
        </w:rPr>
        <w:t>Supplier SI Upload — Rollout Playbook</w:t>
      </w:r>
    </w:p>
    <w:p>
      <w:pPr>
        <w:jc w:val="center"/>
        <w:spacing w:before="0" w:after="160"/>
      </w:pPr>
      <w:r>
        <w:rPr>
          <w:rFonts w:ascii="Calibri" w:hAnsi="Calibri"/>
          <w:i/>
          <w:color w:val="666666"/>
          <w:sz w:val="22"/>
        </w:rPr>
        <w:t>Owner: Cayla</w:t>
      </w:r>
    </w:p>
    <w:p>
      <w:pPr>
        <w:spacing w:before="40" w:after="60"/>
      </w:pPr>
      <w:r>
        <w:rPr>
          <w:rFonts w:ascii="Calibri" w:hAnsi="Calibri"/>
          <w:b/>
          <w:sz w:val="22"/>
        </w:rPr>
        <w:t>Owner:</w:t>
      </w:r>
      <w:r>
        <w:rPr>
          <w:rFonts w:ascii="Calibri" w:hAnsi="Calibri"/>
          <w:sz w:val="22"/>
        </w:rPr>
        <w:t xml:space="preserve"> Cayla </w:t>
      </w:r>
      <w:r>
        <w:rPr>
          <w:rFonts w:ascii="Calibri" w:hAnsi="Calibri"/>
          <w:b/>
          <w:sz w:val="22"/>
        </w:rPr>
        <w:t>Audience:</w:t>
      </w:r>
      <w:r>
        <w:rPr>
          <w:rFonts w:ascii="Calibri" w:hAnsi="Calibri"/>
          <w:sz w:val="22"/>
        </w:rPr>
        <w:t xml:space="preserve"> Cayla + any backup on the procurement/supplier-relations side </w:t>
      </w:r>
      <w:r>
        <w:rPr>
          <w:rFonts w:ascii="Calibri" w:hAnsi="Calibri"/>
          <w:b/>
          <w:sz w:val="22"/>
        </w:rPr>
        <w:t>Goal:</w:t>
      </w:r>
      <w:r>
        <w:rPr>
          <w:rFonts w:ascii="Calibri" w:hAnsi="Calibri"/>
          <w:sz w:val="22"/>
        </w:rPr>
        <w:t xml:space="preserve"> Get all 98 BEI suppliers uploading their SIs through the form instead of relying on 3PL warehouse paper-SI forwarding.</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0. What you have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ind w:left="432" w:hanging="288"/>
        <w:spacing w:before="0" w:after="40"/>
      </w:pPr>
      <w:r>
        <w:rPr>
          <w:rFonts w:ascii="Calibri" w:hAnsi="Calibri"/>
          <w:b/>
          <w:color w:val="04400A"/>
          <w:sz w:val="22"/>
        </w:rPr>
        <w:t xml:space="preserve">• </w:t>
      </w:r>
      <w:r>
        <w:rPr>
          <w:rFonts w:ascii="Calibri" w:hAnsi="Calibri"/>
          <w:b/>
          <w:sz w:val="22"/>
        </w:rPr>
        <w:t>Single form URL for all suppliers</w:t>
      </w:r>
      <w:r>
        <w:rPr>
          <w:rFonts w:ascii="Calibri" w:hAnsi="Calibri"/>
          <w:sz w:val="22"/>
        </w:rPr>
        <w:t xml:space="preserve"> (no per-supplier links):</w:t>
      </w:r>
    </w:p>
    <w:p>
      <w:pPr>
        <w:spacing w:before="40" w:after="60"/>
      </w:pPr>
      <w:r>
        <w:rPr>
          <w:rFonts w:ascii="Calibri" w:hAnsi="Calibri"/>
          <w:sz w:val="22"/>
        </w:rPr>
        <w:t>https://docs.google.com/forms/d/e/1FAIpQLSc3UC9f_3gefDYNgpOqNx7UCw_5BDrRh9T8-GQeyHHWSxdITw/viewform</w:t>
      </w:r>
    </w:p>
    <w:p>
      <w:pPr>
        <w:ind w:left="432" w:hanging="288"/>
        <w:spacing w:before="0" w:after="40"/>
      </w:pPr>
      <w:r>
        <w:rPr>
          <w:rFonts w:ascii="Calibri" w:hAnsi="Calibri"/>
          <w:b/>
          <w:color w:val="04400A"/>
          <w:sz w:val="22"/>
        </w:rPr>
        <w:t xml:space="preserve">• </w:t>
      </w:r>
      <w:r>
        <w:rPr>
          <w:rFonts w:ascii="Consolas" w:hAnsi="Consolas"/>
          <w:color w:val="04400A"/>
          <w:sz w:val="20"/>
        </w:rPr>
        <w:t>output/s210/guides/SUPPLIER_FAQ.docx</w:t>
      </w:r>
      <w:r>
        <w:rPr>
          <w:rFonts w:ascii="Calibri" w:hAnsi="Calibri"/>
          <w:sz w:val="22"/>
        </w:rPr>
        <w:t xml:space="preserve"> — attach to every rollout email We identify the supplier automatically from the PO Number they type on the form, so the URL doesn't need to carry company identity. Same URL for everyone — simpler comms + no confidentiality exposure. --- ## 1. Rollout waves (recommended cadence) Don't email all 98 at once. Phase in waves to handle confusion at pace. ### Wave 1 — Top 10 Tier A by volume (week 1) The 10 suppliers we pay the most. They have the most incentive to adopt. Identify them by pulling top 10 PO totals from Procurement AppSheet: ``` Sort Sheet C 08_Full_Open_POs by Total Amount desc, take top 10 distinct suppliers.</w:t>
      </w:r>
    </w:p>
    <w:tbl>
      <w:tblPr>
        <w:tblW w:type="auto" w:w="0"/>
        <w:jc w:val="center"/>
        <w:tblLook w:firstColumn="1" w:firstRow="1" w:lastColumn="0" w:lastRow="0" w:noHBand="0" w:noVBand="1" w:val="04A0"/>
      </w:tblPr>
      <w:tblGrid>
        <w:gridCol w:w="8640"/>
      </w:tblGrid>
      <w:tr>
        <w:tc>
          <w:tcPr>
            <w:tcW w:type="dxa" w:w="8666"/>
            <w:shd w:fill="F4F2ED" w:val="clear"/>
            <w:tcBorders>
              <w:top w:val="single" w:sz="4" w:color="D4D0C8"/>
              <w:left w:val="single" w:sz="4" w:color="D4D0C8"/>
              <w:bottom w:val="single" w:sz="4" w:color="D4D0C8"/>
              <w:right w:val="single" w:sz="4" w:color="D4D0C8"/>
            </w:tcBorders>
            <w:tcMar>
              <w:top w:w="80" w:type="dxa"/>
              <w:bottom w:w="80" w:type="dxa"/>
              <w:start w:w="140" w:type="dxa"/>
              <w:end w:w="140" w:type="dxa"/>
            </w:tcMar>
          </w:tcPr>
          <w:p>
            <w:pPr>
              <w:spacing w:before="0" w:after="0"/>
            </w:pPr>
            <w:r>
              <w:rPr>
                <w:rFonts w:ascii="Consolas" w:hAnsi="Consolas"/>
                <w:color w:val="1A1A1A"/>
                <w:sz w:val="18"/>
              </w:rPr>
            </w:r>
          </w:p>
          <w:p>
            <w:pPr>
              <w:spacing w:before="0" w:after="0"/>
            </w:pPr>
            <w:r>
              <w:rPr>
                <w:rFonts w:ascii="Consolas" w:hAnsi="Consolas"/>
                <w:color w:val="1A1A1A"/>
                <w:sz w:val="18"/>
              </w:rPr>
              <w:t>Email each individually. Watch for 48 hours — confirm each sends at</w:t>
            </w:r>
          </w:p>
          <w:p>
            <w:pPr>
              <w:spacing w:before="0" w:after="0"/>
            </w:pPr>
            <w:r>
              <w:rPr>
                <w:rFonts w:ascii="Consolas" w:hAnsi="Consolas"/>
                <w:color w:val="1A1A1A"/>
                <w:sz w:val="18"/>
              </w:rPr>
              <w:t>least one test SI. Call any who don't respond.</w:t>
            </w:r>
          </w:p>
          <w:p>
            <w:pPr>
              <w:spacing w:before="0" w:after="0"/>
            </w:pPr>
            <w:r>
              <w:rPr>
                <w:rFonts w:ascii="Consolas" w:hAnsi="Consolas"/>
                <w:color w:val="1A1A1A"/>
                <w:sz w:val="18"/>
              </w:rPr>
            </w:r>
          </w:p>
          <w:p>
            <w:pPr>
              <w:spacing w:before="0" w:after="0"/>
            </w:pPr>
            <w:r>
              <w:rPr>
                <w:rFonts w:ascii="Consolas" w:hAnsi="Consolas"/>
                <w:color w:val="1A1A1A"/>
                <w:sz w:val="18"/>
              </w:rPr>
              <w:t>### Wave 2 — Rest of Tier A (week 2)</w:t>
            </w:r>
          </w:p>
          <w:p>
            <w:pPr>
              <w:spacing w:before="0" w:after="0"/>
            </w:pPr>
            <w:r>
              <w:rPr>
                <w:rFonts w:ascii="Consolas" w:hAnsi="Consolas"/>
                <w:color w:val="1A1A1A"/>
                <w:sz w:val="18"/>
              </w:rPr>
            </w:r>
          </w:p>
          <w:p>
            <w:pPr>
              <w:spacing w:before="0" w:after="0"/>
            </w:pPr>
            <w:r>
              <w:rPr>
                <w:rFonts w:ascii="Consolas" w:hAnsi="Consolas"/>
                <w:color w:val="1A1A1A"/>
                <w:sz w:val="18"/>
              </w:rPr>
              <w:t>Remaining Tier A suppliers (likely 50-70 more). Batch email — same</w:t>
            </w:r>
          </w:p>
          <w:p>
            <w:pPr>
              <w:spacing w:before="0" w:after="0"/>
            </w:pPr>
            <w:r>
              <w:rPr>
                <w:rFonts w:ascii="Consolas" w:hAnsi="Consolas"/>
                <w:color w:val="1A1A1A"/>
                <w:sz w:val="18"/>
              </w:rPr>
              <w:t>template. Expect 60-70% response rate.</w:t>
            </w:r>
          </w:p>
          <w:p>
            <w:pPr>
              <w:spacing w:before="0" w:after="0"/>
            </w:pPr>
            <w:r>
              <w:rPr>
                <w:rFonts w:ascii="Consolas" w:hAnsi="Consolas"/>
                <w:color w:val="1A1A1A"/>
                <w:sz w:val="18"/>
              </w:rPr>
            </w:r>
          </w:p>
          <w:p>
            <w:pPr>
              <w:spacing w:before="0" w:after="0"/>
            </w:pPr>
            <w:r>
              <w:rPr>
                <w:rFonts w:ascii="Consolas" w:hAnsi="Consolas"/>
                <w:color w:val="1A1A1A"/>
                <w:sz w:val="18"/>
              </w:rPr>
              <w:t>### Wave 3 — Tier B/C (week 3-4)</w:t>
            </w:r>
          </w:p>
          <w:p>
            <w:pPr>
              <w:spacing w:before="0" w:after="0"/>
            </w:pPr>
            <w:r>
              <w:rPr>
                <w:rFonts w:ascii="Consolas" w:hAnsi="Consolas"/>
                <w:color w:val="1A1A1A"/>
                <w:sz w:val="18"/>
              </w:rPr>
            </w:r>
          </w:p>
          <w:p>
            <w:pPr>
              <w:spacing w:before="0" w:after="0"/>
            </w:pPr>
            <w:r>
              <w:rPr>
                <w:rFonts w:ascii="Consolas" w:hAnsi="Consolas"/>
                <w:color w:val="1A1A1A"/>
                <w:sz w:val="18"/>
              </w:rPr>
              <w:t>Lower-volume suppliers. Can batch. Follow-up once after 1 week.</w:t>
            </w:r>
          </w:p>
          <w:p>
            <w:pPr>
              <w:spacing w:before="0" w:after="0"/>
            </w:pPr>
            <w:r>
              <w:rPr>
                <w:rFonts w:ascii="Consolas" w:hAnsi="Consolas"/>
                <w:color w:val="1A1A1A"/>
                <w:sz w:val="18"/>
              </w:rPr>
            </w:r>
          </w:p>
          <w:p>
            <w:pPr>
              <w:spacing w:before="0" w:after="0"/>
            </w:pPr>
            <w:r>
              <w:rPr>
                <w:rFonts w:ascii="Consolas" w:hAnsi="Consolas"/>
                <w:color w:val="1A1A1A"/>
                <w:sz w:val="18"/>
              </w:rPr>
              <w:t>### Wave 4 — Stragglers (week 5+)</w:t>
            </w:r>
          </w:p>
          <w:p>
            <w:pPr>
              <w:spacing w:before="0" w:after="0"/>
            </w:pPr>
            <w:r>
              <w:rPr>
                <w:rFonts w:ascii="Consolas" w:hAnsi="Consolas"/>
                <w:color w:val="1A1A1A"/>
                <w:sz w:val="18"/>
              </w:rPr>
            </w:r>
          </w:p>
          <w:p>
            <w:pPr>
              <w:spacing w:before="0" w:after="0"/>
            </w:pPr>
            <w:r>
              <w:rPr>
                <w:rFonts w:ascii="Consolas" w:hAnsi="Consolas"/>
                <w:color w:val="1A1A1A"/>
                <w:sz w:val="18"/>
              </w:rPr>
              <w:t>Anyone who hasn't uploaded a single SI. Direct call.</w:t>
            </w:r>
          </w:p>
          <w:p>
            <w:pPr>
              <w:spacing w:before="0" w:after="0"/>
            </w:pPr>
            <w:r>
              <w:rPr>
                <w:rFonts w:ascii="Consolas" w:hAnsi="Consolas"/>
                <w:color w:val="1A1A1A"/>
                <w:sz w:val="18"/>
              </w:rPr>
            </w:r>
          </w:p>
          <w:p>
            <w:pPr>
              <w:spacing w:before="0" w:after="0"/>
            </w:pPr>
            <w:r>
              <w:rPr>
                <w:rFonts w:ascii="Consolas" w:hAnsi="Consolas"/>
                <w:color w:val="1A1A1A"/>
                <w:sz w:val="18"/>
              </w:rPr>
              <w:t>---</w:t>
            </w:r>
          </w:p>
          <w:p>
            <w:pPr>
              <w:spacing w:before="0" w:after="0"/>
            </w:pPr>
            <w:r>
              <w:rPr>
                <w:rFonts w:ascii="Consolas" w:hAnsi="Consolas"/>
                <w:color w:val="1A1A1A"/>
                <w:sz w:val="18"/>
              </w:rPr>
            </w:r>
          </w:p>
          <w:p>
            <w:pPr>
              <w:spacing w:before="0" w:after="0"/>
            </w:pPr>
            <w:r>
              <w:rPr>
                <w:rFonts w:ascii="Consolas" w:hAnsi="Consolas"/>
                <w:color w:val="1A1A1A"/>
                <w:sz w:val="18"/>
              </w:rPr>
              <w:t>## 2. Email template</w:t>
            </w:r>
          </w:p>
          <w:p>
            <w:pPr>
              <w:spacing w:before="0" w:after="0"/>
            </w:pPr>
            <w:r>
              <w:rPr>
                <w:rFonts w:ascii="Consolas" w:hAnsi="Consolas"/>
                <w:color w:val="1A1A1A"/>
                <w:sz w:val="18"/>
              </w:rPr>
            </w:r>
          </w:p>
          <w:p>
            <w:pPr>
              <w:spacing w:before="0" w:after="0"/>
            </w:pPr>
            <w:r>
              <w:rPr>
                <w:rFonts w:ascii="Consolas" w:hAnsi="Consolas"/>
                <w:color w:val="1A1A1A"/>
                <w:sz w:val="18"/>
              </w:rPr>
              <w:t>Subject: `BEI Supplier SI Upload — fastest path to payment`</w:t>
            </w:r>
          </w:p>
          <w:p>
            <w:pPr>
              <w:spacing w:before="0" w:after="0"/>
            </w:pPr>
            <w:r>
              <w:rPr>
                <w:rFonts w:ascii="Consolas" w:hAnsi="Consolas"/>
                <w:color w:val="1A1A1A"/>
                <w:sz w:val="18"/>
              </w:rPr>
            </w:r>
          </w:p>
        </w:tc>
      </w:tr>
    </w:tbl>
    <w:p/>
    <w:p>
      <w:pPr>
        <w:spacing w:before="40" w:after="60"/>
      </w:pPr>
      <w:r>
        <w:rPr>
          <w:rFonts w:ascii="Calibri" w:hAnsi="Calibri"/>
          <w:sz w:val="22"/>
        </w:rPr>
        <w:t>Hi [Supplier Contact Name],</w:t>
      </w:r>
    </w:p>
    <w:p>
      <w:pPr>
        <w:spacing w:before="40" w:after="60"/>
      </w:pPr>
      <w:r>
        <w:rPr>
          <w:rFonts w:ascii="Calibri" w:hAnsi="Calibri"/>
          <w:sz w:val="22"/>
        </w:rPr>
        <w:t>BEI has moved to a new process that will get your invoices paid faster. Starting now, for every delivery you make to BEI or our 3PL warehouses (3MD, Pinnacle), please upload your Sales Invoice at the link below right after delivery.</w:t>
      </w:r>
    </w:p>
    <w:p>
      <w:pPr>
        <w:spacing w:before="40" w:after="60"/>
      </w:pPr>
      <w:r>
        <w:rPr>
          <w:rFonts w:ascii="Calibri" w:hAnsi="Calibri"/>
          <w:sz w:val="22"/>
        </w:rPr>
        <w:t>Upload link (bookmark this — same link for every delivery): https://docs.google.com/forms/d/e/1FAIpQLSc3UC9f_3gefDYNgpOqNx7UCw_5BDrRh9T8-GQeyHHWSxdITw/viewform</w:t>
      </w:r>
    </w:p>
    <w:p>
      <w:pPr>
        <w:spacing w:before="40" w:after="60"/>
      </w:pPr>
      <w:r>
        <w:rPr>
          <w:rFonts w:ascii="Calibri" w:hAnsi="Calibri"/>
          <w:sz w:val="22"/>
        </w:rPr>
        <w:t>What to do:</w:t>
      </w:r>
    </w:p>
    <w:p>
      <w:pPr>
        <w:ind w:left="432" w:hanging="432"/>
        <w:spacing w:before="0" w:after="40"/>
      </w:pPr>
      <w:r>
        <w:rPr>
          <w:rFonts w:ascii="Calibri" w:hAnsi="Calibri"/>
          <w:b/>
          <w:color w:val="04400A"/>
          <w:sz w:val="22"/>
        </w:rPr>
        <w:t xml:space="preserve">1. </w:t>
      </w:r>
      <w:r>
        <w:rPr>
          <w:rFonts w:ascii="Calibri" w:hAnsi="Calibri"/>
          <w:sz w:val="22"/>
        </w:rPr>
        <w:t>Tap the link</w:t>
      </w:r>
    </w:p>
    <w:p>
      <w:pPr>
        <w:ind w:left="432" w:hanging="432"/>
        <w:spacing w:before="0" w:after="40"/>
      </w:pPr>
      <w:r>
        <w:rPr>
          <w:rFonts w:ascii="Calibri" w:hAnsi="Calibri"/>
          <w:b/>
          <w:color w:val="04400A"/>
          <w:sz w:val="22"/>
        </w:rPr>
        <w:t xml:space="preserve">2. </w:t>
      </w:r>
      <w:r>
        <w:rPr>
          <w:rFonts w:ascii="Calibri" w:hAnsi="Calibri"/>
          <w:sz w:val="22"/>
        </w:rPr>
        <w:t>Pick which BEI warehouse you delivered to (3MD, Pinnacle, or Shaw BLVD)</w:t>
      </w:r>
    </w:p>
    <w:p>
      <w:pPr>
        <w:ind w:left="432" w:hanging="432"/>
        <w:spacing w:before="0" w:after="40"/>
      </w:pPr>
      <w:r>
        <w:rPr>
          <w:rFonts w:ascii="Calibri" w:hAnsi="Calibri"/>
          <w:b/>
          <w:color w:val="04400A"/>
          <w:sz w:val="22"/>
        </w:rPr>
        <w:t xml:space="preserve">3. </w:t>
      </w:r>
      <w:r>
        <w:rPr>
          <w:rFonts w:ascii="Calibri" w:hAnsi="Calibri"/>
          <w:sz w:val="22"/>
        </w:rPr>
        <w:t>Type the PO Number, SI Number, SI Date, Amount</w:t>
      </w:r>
    </w:p>
    <w:p>
      <w:pPr>
        <w:ind w:left="432" w:hanging="432"/>
        <w:spacing w:before="0" w:after="40"/>
      </w:pPr>
      <w:r>
        <w:rPr>
          <w:rFonts w:ascii="Calibri" w:hAnsi="Calibri"/>
          <w:b/>
          <w:color w:val="04400A"/>
          <w:sz w:val="22"/>
        </w:rPr>
        <w:t xml:space="preserve">4. </w:t>
      </w:r>
      <w:r>
        <w:rPr>
          <w:rFonts w:ascii="Calibri" w:hAnsi="Calibri"/>
          <w:sz w:val="22"/>
        </w:rPr>
        <w:t>Tap "Upload SI Copy" — pick your PDF or photo from your phone</w:t>
      </w:r>
    </w:p>
    <w:p>
      <w:pPr>
        <w:ind w:left="432" w:hanging="432"/>
        <w:spacing w:before="0" w:after="40"/>
      </w:pPr>
      <w:r>
        <w:rPr>
          <w:rFonts w:ascii="Calibri" w:hAnsi="Calibri"/>
          <w:b/>
          <w:color w:val="04400A"/>
          <w:sz w:val="22"/>
        </w:rPr>
        <w:t xml:space="preserve">5. </w:t>
      </w:r>
      <w:r>
        <w:rPr>
          <w:rFonts w:ascii="Calibri" w:hAnsi="Calibri"/>
          <w:sz w:val="22"/>
        </w:rPr>
        <w:t>Submit</w:t>
      </w:r>
    </w:p>
    <w:p>
      <w:pPr>
        <w:spacing w:before="40" w:after="60"/>
      </w:pPr>
      <w:r>
        <w:rPr>
          <w:rFonts w:ascii="Calibri" w:hAnsi="Calibri"/>
          <w:sz w:val="22"/>
        </w:rPr>
        <w:t>That's it. Our system identifies you from the PO Number automatically, matches your upload to the warehouse's delivery record, and queues payment for release on your contracted terms (e.g. Net 30 from delivery).</w:t>
      </w:r>
    </w:p>
    <w:p>
      <w:pPr>
        <w:spacing w:before="40" w:after="60"/>
      </w:pPr>
      <w:r>
        <w:rPr>
          <w:rFonts w:ascii="Calibri" w:hAnsi="Calibri"/>
          <w:sz w:val="22"/>
        </w:rPr>
        <w:t>Keep sending the paper SI to us as you do today — that's separate and unchanged. The upload is what speeds up your payment.</w:t>
      </w:r>
    </w:p>
    <w:p>
      <w:pPr>
        <w:spacing w:before="40" w:after="60"/>
      </w:pPr>
      <w:r>
        <w:rPr>
          <w:rFonts w:ascii="Calibri" w:hAnsi="Calibri"/>
          <w:sz w:val="22"/>
        </w:rPr>
        <w:t>Attached FAQ answers common questions. Contact me if anything is unclear.</w:t>
      </w:r>
    </w:p>
    <w:p>
      <w:pPr>
        <w:spacing w:before="40" w:after="60"/>
      </w:pPr>
      <w:r>
        <w:rPr>
          <w:rFonts w:ascii="Calibri" w:hAnsi="Calibri"/>
          <w:sz w:val="22"/>
        </w:rPr>
        <w:t>Thanks, Cayla cayla@bebang.ph</w:t>
      </w:r>
    </w:p>
    <w:p>
      <w:pPr>
        <w:spacing w:before="40" w:after="60"/>
      </w:pPr>
      <w:r>
        <w:rPr>
          <w:rFonts w:ascii="Calibri" w:hAnsi="Calibri"/>
          <w:sz w:val="22"/>
        </w:rPr>
        <w:t>[ATTACH: SUPPLIER_FAQ.docx] ``</w:t>
      </w:r>
      <w:r>
        <w:rPr>
          <w:rFonts w:ascii="Consolas" w:hAnsi="Consolas"/>
          <w:color w:val="04400A"/>
          <w:sz w:val="20"/>
        </w:rPr>
        <w:t xml:space="preserve"> --- ## 3. QR code for the dock Print one QR code once; the same QR works for every supplier and every delivery. Print large on the receiving area wall so truckers can scan with their phone while the 3PL is signing off. Generate the QR: </w:t>
      </w:r>
      <w:r>
        <w:rPr>
          <w:rFonts w:ascii="Calibri" w:hAnsi="Calibri"/>
          <w:sz w:val="22"/>
        </w:rPr>
        <w:t>`</w:t>
      </w:r>
      <w:r>
        <w:rPr>
          <w:rFonts w:ascii="Consolas" w:hAnsi="Consolas"/>
          <w:color w:val="04400A"/>
          <w:sz w:val="20"/>
        </w:rPr>
        <w:t xml:space="preserve"> https://api.qrserver.com/v1/create-qr-code/?size=600x600&amp;data=https%3A//docs.google.com/forms/d/e/1FAIpQLSc3UC9f_3gefDYNgpOqNx7UCw_5BDrRh9T8-GQeyHHWSxdITw/viewform </w:t>
      </w:r>
      <w:r>
        <w:rPr>
          <w:rFonts w:ascii="Calibri" w:hAnsi="Calibri"/>
          <w:sz w:val="22"/>
        </w:rPr>
        <w:t>`` Save → print A5 → laminate → post at each of 3MD, Pinnacle, and Shaw receiving stations. --- ## 4. Tracking adoption — weekly check Every Monday morning, open Sheet C 01_Dashboard. Check the KPI "SI match rate (today's receipts)". Target &gt; 60% by end of week 2,</w:t>
      </w:r>
    </w:p>
    <w:tbl>
      <w:tblPr>
        <w:tblW w:type="auto" w:w="0"/>
        <w:jc w:val="center"/>
        <w:tblLook w:firstColumn="1" w:firstRow="1" w:lastColumn="0" w:lastRow="0" w:noHBand="0" w:noVBand="1" w:val="04A0"/>
      </w:tblPr>
      <w:tblGrid>
        <w:gridCol w:w="8640"/>
      </w:tblGrid>
      <w:tr>
        <w:tc>
          <w:tcPr>
            <w:tcW w:type="dxa" w:w="8666"/>
            <w:shd w:fill="F8F0D9" w:val="clear"/>
            <w:tcBorders>
              <w:top w:val="single" w:sz="8" w:color="C8900A"/>
              <w:left w:val="single" w:sz="8" w:color="C8900A"/>
              <w:bottom w:val="single" w:sz="8" w:color="C8900A"/>
              <w:right w:val="single" w:sz="8" w:color="C8900A"/>
            </w:tcBorders>
            <w:tcMar>
              <w:top w:w="100" w:type="dxa"/>
              <w:bottom w:w="100" w:type="dxa"/>
              <w:start w:w="180" w:type="dxa"/>
              <w:end w:w="180" w:type="dxa"/>
            </w:tcMar>
          </w:tcPr>
          <w:p>
            <w:pPr>
              <w:spacing w:before="0" w:after="40"/>
            </w:pPr>
            <w:r>
              <w:rPr>
                <w:rFonts w:ascii="Calibri" w:hAnsi="Calibri"/>
                <w:sz w:val="22"/>
              </w:rPr>
              <w:t>80% by end of week 4.</w:t>
            </w:r>
          </w:p>
        </w:tc>
      </w:tr>
    </w:tbl>
    <w:p/>
    <w:p>
      <w:pPr>
        <w:spacing w:before="40" w:after="60"/>
      </w:pPr>
      <w:r>
        <w:rPr>
          <w:rFonts w:ascii="Calibri" w:hAnsi="Calibri"/>
          <w:sz w:val="22"/>
        </w:rPr>
        <w:t>For suppliers NOT yet uploading, cross-reference:</w:t>
      </w:r>
    </w:p>
    <w:p>
      <w:pPr>
        <w:ind w:left="432" w:hanging="288"/>
        <w:spacing w:before="0" w:after="40"/>
      </w:pPr>
      <w:r>
        <w:rPr>
          <w:rFonts w:ascii="Calibri" w:hAnsi="Calibri"/>
          <w:b/>
          <w:color w:val="04400A"/>
          <w:sz w:val="22"/>
        </w:rPr>
        <w:t xml:space="preserve">• </w:t>
      </w:r>
      <w:r>
        <w:rPr>
          <w:rFonts w:ascii="Consolas" w:hAnsi="Consolas"/>
          <w:color w:val="04400A"/>
          <w:sz w:val="20"/>
        </w:rPr>
        <w:t>02_All_Receipts_Consolidated</w:t>
      </w:r>
      <w:r>
        <w:rPr>
          <w:rFonts w:ascii="Calibri" w:hAnsi="Calibri"/>
          <w:sz w:val="22"/>
        </w:rPr>
        <w:t xml:space="preserve"> rows where </w:t>
      </w:r>
      <w:r>
        <w:rPr>
          <w:rFonts w:ascii="Consolas" w:hAnsi="Consolas"/>
          <w:color w:val="04400A"/>
          <w:sz w:val="20"/>
        </w:rPr>
        <w:t>SI_Matched = FALSE</w:t>
      </w:r>
    </w:p>
    <w:p>
      <w:pPr>
        <w:ind w:left="432" w:hanging="288"/>
        <w:spacing w:before="0" w:after="40"/>
      </w:pPr>
      <w:r>
        <w:rPr>
          <w:rFonts w:ascii="Calibri" w:hAnsi="Calibri"/>
          <w:b/>
          <w:color w:val="04400A"/>
          <w:sz w:val="22"/>
        </w:rPr>
        <w:t xml:space="preserve">• </w:t>
      </w:r>
      <w:r>
        <w:rPr>
          <w:rFonts w:ascii="Calibri" w:hAnsi="Calibri"/>
          <w:sz w:val="22"/>
        </w:rPr>
        <w:t>Group by Supplier</w:t>
      </w:r>
    </w:p>
    <w:p>
      <w:pPr>
        <w:ind w:left="432" w:hanging="288"/>
        <w:spacing w:before="0" w:after="40"/>
      </w:pPr>
      <w:r>
        <w:rPr>
          <w:rFonts w:ascii="Calibri" w:hAnsi="Calibri"/>
          <w:b/>
          <w:color w:val="04400A"/>
          <w:sz w:val="22"/>
        </w:rPr>
        <w:t xml:space="preserve">• </w:t>
      </w:r>
      <w:r>
        <w:rPr>
          <w:rFonts w:ascii="Calibri" w:hAnsi="Calibri"/>
          <w:sz w:val="22"/>
        </w:rPr>
        <w:t>Call the top 5 non-adopters each week</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5. Handling common resistance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tbl>
      <w:tblPr>
        <w:tblW w:type="auto" w:w="0"/>
        <w:jc w:val="center"/>
        <w:tblLayout w:type="autofit"/>
        <w:tblLook w:firstColumn="1" w:firstRow="1" w:lastColumn="0" w:lastRow="0" w:noHBand="0" w:noVBand="1" w:val="04A0"/>
      </w:tblPr>
      <w:tblGrid>
        <w:gridCol w:w="4333"/>
        <w:gridCol w:w="4333"/>
      </w:tblGrid>
      <w:tr>
        <w:tc>
          <w:tcPr>
            <w:tcW w:type="dxa" w:w="4333"/>
            <w:shd w:fill="04400A" w:val="clear"/>
            <w:tcBorders>
              <w:top w:val="single" w:sz="6" w:color="04400A"/>
              <w:left w:val="single" w:sz="6" w:color="04400A"/>
              <w:bottom w:val="single" w:sz="6" w:color="04400A"/>
              <w:right w:val="single" w:sz="6" w:color="04400A"/>
            </w:tcBorders>
            <w:tcMar>
              <w:top w:w="60" w:type="dxa"/>
              <w:bottom w:w="60" w:type="dxa"/>
              <w:start w:w="100" w:type="dxa"/>
              <w:end w:w="100" w:type="dxa"/>
            </w:tcMar>
          </w:tcPr>
          <w:p>
            <w:pPr>
              <w:jc w:val="left"/>
              <w:spacing w:before="0" w:after="0"/>
            </w:pPr>
            <w:r>
              <w:rPr>
                <w:rFonts w:ascii="Calibri" w:hAnsi="Calibri"/>
                <w:b/>
                <w:color w:val="FFFFFF"/>
                <w:sz w:val="21"/>
              </w:rPr>
              <w:t>Objection</w:t>
            </w:r>
          </w:p>
        </w:tc>
        <w:tc>
          <w:tcPr>
            <w:tcW w:type="dxa" w:w="4333"/>
            <w:shd w:fill="04400A" w:val="clear"/>
            <w:tcBorders>
              <w:top w:val="single" w:sz="6" w:color="04400A"/>
              <w:left w:val="single" w:sz="6" w:color="04400A"/>
              <w:bottom w:val="single" w:sz="6" w:color="04400A"/>
              <w:right w:val="single" w:sz="6" w:color="04400A"/>
            </w:tcBorders>
            <w:tcMar>
              <w:top w:w="60" w:type="dxa"/>
              <w:bottom w:w="60" w:type="dxa"/>
              <w:start w:w="100" w:type="dxa"/>
              <w:end w:w="100" w:type="dxa"/>
            </w:tcMar>
          </w:tcPr>
          <w:p>
            <w:pPr>
              <w:jc w:val="left"/>
              <w:spacing w:before="0" w:after="0"/>
            </w:pPr>
            <w:r>
              <w:rPr>
                <w:rFonts w:ascii="Calibri" w:hAnsi="Calibri"/>
                <w:b/>
                <w:color w:val="FFFFFF"/>
                <w:sz w:val="21"/>
              </w:rPr>
              <w:t>Response</w:t>
            </w:r>
          </w:p>
        </w:tc>
      </w:tr>
      <w:tr>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"I don't have a scanner"</w:t>
            </w:r>
          </w:p>
        </w:tc>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Phone photo is fine. The form accepts JPG/PNG.</w:t>
            </w:r>
          </w:p>
        </w:tc>
      </w:tr>
      <w:tr>
        <w:tc>
          <w:tcPr>
            <w:tcW w:type="dxa" w:w="4333"/>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"Our accounts staff don't use Gmail"</w:t>
            </w:r>
          </w:p>
        </w:tc>
        <w:tc>
          <w:tcPr>
            <w:tcW w:type="dxa" w:w="4333"/>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Form is public — works with any browser. No Google account needed.</w:t>
            </w:r>
          </w:p>
        </w:tc>
      </w:tr>
      <w:tr>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"Can I still send paper SI?"</w:t>
            </w:r>
          </w:p>
        </w:tc>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Yes, keep doing that. Upload is in addition, not instead.</w:t>
            </w:r>
          </w:p>
        </w:tc>
      </w:tr>
      <w:tr>
        <w:tc>
          <w:tcPr>
            <w:tcW w:type="dxa" w:w="4333"/>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"My PO number is long / has dashes"</w:t>
            </w:r>
          </w:p>
        </w:tc>
        <w:tc>
          <w:tcPr>
            <w:tcW w:type="dxa" w:w="4333"/>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Copy-paste from the PO exactly as printed. The form accepts any string.</w:t>
            </w:r>
          </w:p>
        </w:tc>
      </w:tr>
      <w:tr>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"What if I make a typo after submitting?"</w:t>
            </w:r>
          </w:p>
        </w:tc>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Upload again — the form allows repeat submissions. Add "Correction for PO-xxxx SI-yyyy" in Notes so we know to dismiss the bad one.</w:t>
            </w:r>
          </w:p>
        </w:tc>
      </w:tr>
      <w:tr>
        <w:tc>
          <w:tcPr>
            <w:tcW w:type="dxa" w:w="4333"/>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"I'm worried about my PDF being seen by others"</w:t>
            </w:r>
          </w:p>
        </w:tc>
        <w:tc>
          <w:tcPr>
            <w:tcW w:type="dxa" w:w="4333"/>
            <w:shd w:fill="E6ECE7"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Only BEI staff have access. Not public, not indexed.</w:t>
            </w:r>
          </w:p>
        </w:tc>
      </w:tr>
      <w:tr>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"How do you know it's my company uploading?"</w:t>
            </w:r>
          </w:p>
        </w:tc>
        <w:tc>
          <w:tcPr>
            <w:tcW w:type="dxa" w:w="4333"/>
            <w:shd w:fill="FFFFFF" w:val="clear"/>
            <w:tcBorders>
              <w:top w:val="single" w:sz="4" w:color="D4D0C8"/>
              <w:left w:val="single" w:sz="4" w:color="D4D0C8"/>
              <w:bottom w:val="single" w:sz="4" w:color="D4D0C8"/>
              <w:right w:val="single" w:sz="4" w:color="D4D0C8"/>
            </w:tcBorders>
            <w:tcMar>
              <w:top w:w="50" w:type="dxa"/>
              <w:bottom w:w="50" w:type="dxa"/>
              <w:start w:w="100" w:type="dxa"/>
              <w:end w:w="100" w:type="dxa"/>
            </w:tcMar>
          </w:tcPr>
          <w:p>
            <w:pPr>
              <w:spacing w:before="0" w:after="0"/>
            </w:pPr>
            <w:r>
              <w:rPr>
                <w:rFonts w:ascii="Calibri" w:hAnsi="Calibri"/>
                <w:sz w:val="20"/>
              </w:rPr>
              <w:t>We match the PO Number you type to your PO in our system. No company name in the form means no list of other suppliers to worry about.</w:t>
            </w:r>
          </w:p>
        </w:tc>
      </w:tr>
    </w:tbl>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6. Escalation</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ind w:left="432" w:hanging="288"/>
        <w:spacing w:before="0" w:after="40"/>
      </w:pPr>
      <w:r>
        <w:rPr>
          <w:rFonts w:ascii="Calibri" w:hAnsi="Calibri"/>
          <w:b/>
          <w:color w:val="04400A"/>
          <w:sz w:val="22"/>
        </w:rPr>
        <w:t xml:space="preserve">• </w:t>
      </w:r>
      <w:r>
        <w:rPr>
          <w:rFonts w:ascii="Calibri" w:hAnsi="Calibri"/>
          <w:sz w:val="22"/>
        </w:rPr>
        <w:t>Tier A supplier who refuses → Cayla → Ian (procurement context) → Sam</w:t>
      </w:r>
    </w:p>
    <w:p>
      <w:pPr>
        <w:ind w:left="432" w:hanging="288"/>
        <w:spacing w:before="0" w:after="40"/>
      </w:pPr>
      <w:r>
        <w:rPr>
          <w:rFonts w:ascii="Calibri" w:hAnsi="Calibri"/>
          <w:b/>
          <w:color w:val="04400A"/>
          <w:sz w:val="22"/>
        </w:rPr>
        <w:t xml:space="preserve">• </w:t>
      </w:r>
      <w:r>
        <w:rPr>
          <w:rFonts w:ascii="Calibri" w:hAnsi="Calibri"/>
          <w:sz w:val="22"/>
        </w:rPr>
        <w:t>Form/technical issue → Sam (sprint owner)</w:t>
      </w:r>
    </w:p>
    <w:p>
      <w:pPr>
        <w:ind w:left="432" w:hanging="288"/>
        <w:spacing w:before="0" w:after="40"/>
      </w:pPr>
      <w:r>
        <w:rPr>
          <w:rFonts w:ascii="Calibri" w:hAnsi="Calibri"/>
          <w:b/>
          <w:color w:val="04400A"/>
          <w:sz w:val="22"/>
        </w:rPr>
        <w:t xml:space="preserve">• </w:t>
      </w:r>
      <w:r>
        <w:rPr>
          <w:rFonts w:ascii="Calibri" w:hAnsi="Calibri"/>
          <w:sz w:val="22"/>
        </w:rPr>
        <w:t>Supplier reporting we're not paying after upload → Luwi (Accounts Payable)</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7. After rollout — steady state</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ind w:left="432" w:hanging="288"/>
        <w:spacing w:before="0" w:after="40"/>
      </w:pPr>
      <w:r>
        <w:rPr>
          <w:rFonts w:ascii="Calibri" w:hAnsi="Calibri"/>
          <w:b/>
          <w:color w:val="04400A"/>
          <w:sz w:val="22"/>
        </w:rPr>
        <w:t xml:space="preserve">• </w:t>
      </w:r>
      <w:r>
        <w:rPr>
          <w:rFonts w:ascii="Calibri" w:hAnsi="Calibri"/>
          <w:b/>
          <w:sz w:val="22"/>
        </w:rPr>
        <w:t>New supplier onboarding:</w:t>
      </w:r>
      <w:r>
        <w:rPr>
          <w:rFonts w:ascii="Calibri" w:hAnsi="Calibri"/>
          <w:sz w:val="22"/>
        </w:rPr>
        <w:t xml:space="preserve"> as part of supplier onboarding, Cayla</w:t>
      </w:r>
    </w:p>
    <w:p>
      <w:pPr>
        <w:spacing w:before="40" w:after="60"/>
      </w:pPr>
      <w:r>
        <w:rPr>
          <w:rFonts w:ascii="Calibri" w:hAnsi="Calibri"/>
          <w:sz w:val="22"/>
        </w:rPr>
        <w:t>adds their email + contract to the Procurement AppSheet Suppliers tab. They get the same form URL in their welcome email. No per- supplier generation needed.</w:t>
      </w:r>
    </w:p>
    <w:p>
      <w:pPr>
        <w:ind w:left="432" w:hanging="288"/>
        <w:spacing w:before="0" w:after="40"/>
      </w:pPr>
      <w:r>
        <w:rPr>
          <w:rFonts w:ascii="Calibri" w:hAnsi="Calibri"/>
          <w:b/>
          <w:color w:val="04400A"/>
          <w:sz w:val="22"/>
        </w:rPr>
        <w:t xml:space="preserve">• </w:t>
      </w:r>
      <w:r>
        <w:rPr>
          <w:rFonts w:ascii="Calibri" w:hAnsi="Calibri"/>
          <w:b/>
          <w:sz w:val="22"/>
        </w:rPr>
        <w:t>Retired supplier:</w:t>
      </w:r>
      <w:r>
        <w:rPr>
          <w:rFonts w:ascii="Calibri" w:hAnsi="Calibri"/>
          <w:sz w:val="22"/>
        </w:rPr>
        <w:t xml:space="preserve"> mark as Tier C or disabled in Procurement</w:t>
      </w:r>
    </w:p>
    <w:p>
      <w:pPr>
        <w:spacing w:before="40" w:after="60"/>
      </w:pPr>
      <w:r>
        <w:rPr>
          <w:rFonts w:ascii="Calibri" w:hAnsi="Calibri"/>
          <w:sz w:val="22"/>
        </w:rPr>
        <w:t>AppSheet. Their old POs stop matching once you close them. No URL housekeeping needed.</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Pr>
        <w:jc w:val="center"/>
        <w:spacing w:before="80" w:after="0"/>
      </w:pPr>
      <w:r>
        <w:rPr>
          <w:rFonts w:ascii="Calibri" w:hAnsi="Calibri"/>
          <w:i/>
          <w:color w:val="666666"/>
          <w:sz w:val="18"/>
        </w:rPr>
        <w:t>Version 2026-04-21.</w:t>
      </w:r>
    </w:p>
    <w:sectPr w:rsidR="00FC693F" w:rsidRPr="0006063C" w:rsidSect="00034616">
      <w:pgSz w:w="11906" w:h="16838"/>
      <w:pgMar w:top="144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