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2026-08-10</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2006;</w:t>
      </w:r>
      <w:r>
        <w:t xml:space="preserve"> </w:t>
      </w:r>
      <w:r>
        <w:rPr>
          <w:b/>
          <w:bCs/>
        </w:rPr>
        <w:t xml:space="preserve">roopnarineNetworksExtinctionPaleocommunity2017?</w:t>
      </w:r>
      <w:r>
        <w:t xml:space="preserve">)</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of interaction realisation, alongside realised networks generated using Niche and ATN models as additional benchmarks. We then evaluate how these assumptions influence network structure, dynamical burn-in and extinction simulations. Our objective is not to identify an optimal downsampling algorithm, nor to suggest that any single approach provides the correct realised community. Rather, we present network realisation as a proof of concept for integrating empirical interaction pools into dynamic food-web models, while testing whether the ecological signatures introduced during this step remain detectable throughout the subsequent modelling process. More broadly, we ask whether</w:t>
      </w:r>
      <w:r>
        <w:t xml:space="preserve"> </w:t>
      </w:r>
      <w:r>
        <w:t xml:space="preserve">‘realised metawebs’</w:t>
      </w:r>
      <w:r>
        <w:t xml:space="preserve"> </w:t>
      </w:r>
      <w:r>
        <w:t xml:space="preserve">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for the different network types. Each extinction scenario is presented in the supp matt but note that the with the exception of the random basal extinctions this pattern remains consistent</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3</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3</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HighLevel.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2"/>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Topological extinction simulations primarily interrogate network architecture, and therefore retain the common structural signature inherited from the metaweb. Dynamic simulations introduce a second layer of ecological structure through biomass and rate-dependent interactions, revealing differences among networks that are not apparent from topology alone.</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3"/>
    <w:bookmarkStart w:id="34" w:name="conclusions"/>
    <w:p>
      <w:pPr>
        <w:pStyle w:val="Heading1"/>
      </w:pPr>
      <w:r>
        <w:t xml:space="preserve">5. Conclusions</w:t>
      </w:r>
    </w:p>
    <w:p>
      <w:pPr>
        <w:pStyle w:val="FirstParagraph"/>
      </w:pPr>
      <w:r>
        <w:t xml:space="preserve">Reconstructing realised food webs from regional interaction pools requires assumptions about which potential interactions are likely to occur together. Here, we demonstrate that empirical metawebs can be converted into dynamically tractable food webs through alternative downsampling approaches, but that the resulting networks retain detectable signatures of the assumptions used during their construction. These signatures were evident in network topology and persisted through subsequent dynamical simulations, indicating that network realisation is not simply a preprocessing step but an additional component of the ecological model.</w:t>
      </w:r>
    </w:p>
    <w:p>
      <w:pPr>
        <w:pStyle w:val="BodyText"/>
      </w:pPr>
      <w:r>
        <w:t xml:space="preserve">Our results further suggest that dynamical burn-in represents a second form of network realisation. Although burn-in altered the structure of all networks, it did not erase the differences introduced during initial network construction. Instead, the dynamical model filtered structurally feasible networks according to its own assumptions about biomass, interaction strengths and species persistence. The ecological behaviour of a simulated community is therefore shaped by successive filters: how potential interactions are realised into a network, and how that network is subsequently realised as a dynamically viable community.</w:t>
      </w:r>
    </w:p>
    <w:p>
      <w:pPr>
        <w:pStyle w:val="BlockText"/>
      </w:pPr>
      <w:r>
        <w:t xml:space="preserve">Possible supplement here is to look at the difference between creation and realised topological robustness. If we see a clear difference then clearly the burn in process is altering structure.</w:t>
      </w:r>
    </w:p>
    <w:p>
      <w:pPr>
        <w:pStyle w:val="FirstParagraph"/>
      </w:pPr>
      <w:r>
        <w:t xml:space="preserve">Importantly, the broad relationship between topological and dynamic robustness was consistent across network reconstruction approaches, even though the absolute robustness of individual networks varied. This suggests that some conclusions drawn from network topology may be robust to uncertainty in network reconstruction, while also demonstrating that dynamic simulations can reveal differences among networks that are not apparent from topology alone. In particular, networks generated from the same empirical interaction pool could exhibit distinct dynamical behaviour depending on the assumptions used to realise that pool, supporting the growing synthesis that we cannot neglect the decisions that are made when a network is initially constructed</w:t>
      </w:r>
      <w:r>
        <w:t xml:space="preserve"> </w:t>
      </w:r>
      <w:r>
        <w:t xml:space="preserve">(Brimacombe et al., 2023; Strydom, Karapunar, et al., 2026)</w:t>
      </w:r>
      <w:r>
        <w:t xml:space="preserve">.</w:t>
      </w:r>
    </w:p>
    <w:p>
      <w:pPr>
        <w:pStyle w:val="BodyText"/>
      </w:pPr>
      <w:r>
        <w:t xml:space="preserve">These findings highlight an important challenge for the growing use of dynamic food web models to move beyond describing network structure towards predicting ecological change. Increasingly sophisticated approaches can construct networks from empirical observations or biological traits, while regional metawebs provide a means of retaining broad empirical information on interaction potential. Yet neither empirical provenance nor mechanistic parameterisation necessarily produces a realised community: both require assumptions about which interactions occur together and, in dynamic models, which of those interactions can persist. Network realisation therefore represents a necessary but currently underappreciated bridge between empirical interaction data and mechanistic dynamic modelling.</w:t>
      </w:r>
    </w:p>
    <w:p>
      <w:pPr>
        <w:pStyle w:val="BodyText"/>
      </w:pPr>
      <w:r>
        <w:t xml:space="preserve">This distinction may be particularly important for systems in which empirical interaction data are necessarily incomplete, including palaeoecological communities. Fossil records can provide unusually valuable opportunities to examine ecological change across major extinction events, but the interaction data available from such systems are often better interpreted as empirically constrained interaction pools than complete realised food webs. If these pools can be converted into plausible dynamically viable communities, dynamic modelling could provide a route to testing mechanistic explanations of observed ecological change rather than relying solely on topological reconstructions. Our results provide a first step towards this goal, while demonstrating that the assumptions required to construct the network can remain detectable throughout the modelling process.</w:t>
      </w:r>
    </w:p>
    <w:p>
      <w:pPr>
        <w:pStyle w:val="BodyText"/>
      </w:pPr>
      <w:r>
        <w:t xml:space="preserve">Rather than identifying a single correct method for constructing realised networks, we therefore argue that network realisation should be treated as an explicit source of ecological model uncertainty. As food web modelling increasingly combines empirical interaction data with dynamical approaches, predictions will depend not only on the equations governing population dynamics, but also on how empirical knowledge is translated into the network those equations operate upon. Understanding and quantifying this additional layer of uncertainty will be essential if dynamic food-web models are to provide increasingly empirical predictions of how ecological communities respond to environmental change.</w:t>
      </w:r>
    </w:p>
    <w:bookmarkEnd w:id="34"/>
    <w:bookmarkStart w:id="77" w:name="references"/>
    <w:p>
      <w:pPr>
        <w:pStyle w:val="Heading1"/>
      </w:pPr>
      <w:r>
        <w:t xml:space="preserve">References</w:t>
      </w:r>
    </w:p>
    <w:bookmarkStart w:id="76" w:name="refs"/>
    <w:bookmarkStart w:id="36"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5">
        <w:r>
          <w:rPr>
            <w:rStyle w:val="Hyperlink"/>
          </w:rPr>
          <w:t xml:space="preserve">https://doi.org/10.1137/141000671</w:t>
        </w:r>
      </w:hyperlink>
    </w:p>
    <w:bookmarkEnd w:id="36"/>
    <w:bookmarkStart w:id="38" w:name="X539896ce86e228708f5963ceeaf0e82711f0c07"/>
    <w:p>
      <w:pPr>
        <w:pStyle w:val="Bibliography"/>
      </w:pPr>
      <w:r>
        <w:t xml:space="preserve">Brimacombe, C., Bodner, K., Michalska-Smith, M., Poisot, T., &amp; Fortin, M.-J. (2023). Shortcomings of reusing species interaction networks created by different sets of researchers.</w:t>
      </w:r>
      <w:r>
        <w:t xml:space="preserve"> </w:t>
      </w:r>
      <w:r>
        <w:rPr>
          <w:i/>
          <w:iCs/>
        </w:rPr>
        <w:t xml:space="preserve">PLOS Biology</w:t>
      </w:r>
      <w:r>
        <w:t xml:space="preserve">,</w:t>
      </w:r>
      <w:r>
        <w:t xml:space="preserve"> </w:t>
      </w:r>
      <w:r>
        <w:rPr>
          <w:i/>
          <w:iCs/>
        </w:rPr>
        <w:t xml:space="preserve">21</w:t>
      </w:r>
      <w:r>
        <w:t xml:space="preserve">(4), e3002068.</w:t>
      </w:r>
      <w:r>
        <w:t xml:space="preserve"> </w:t>
      </w:r>
      <w:hyperlink r:id="rId37">
        <w:r>
          <w:rPr>
            <w:rStyle w:val="Hyperlink"/>
          </w:rPr>
          <w:t xml:space="preserve">https://doi.org/10.1371/journal.pbio.3002068</w:t>
        </w:r>
      </w:hyperlink>
    </w:p>
    <w:bookmarkEnd w:id="38"/>
    <w:bookmarkStart w:id="40"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39">
        <w:r>
          <w:rPr>
            <w:rStyle w:val="Hyperlink"/>
          </w:rPr>
          <w:t xml:space="preserve">https://doi.org/10.1890/0012-9658(2006)87[2411:CBRINF]2.0.CO;2</w:t>
        </w:r>
      </w:hyperlink>
    </w:p>
    <w:bookmarkEnd w:id="40"/>
    <w:bookmarkStart w:id="42"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1">
        <w:r>
          <w:rPr>
            <w:rStyle w:val="Hyperlink"/>
          </w:rPr>
          <w:t xml:space="preserve">https://doi.org/10.1098/rspb.1985.0042</w:t>
        </w:r>
      </w:hyperlink>
    </w:p>
    <w:bookmarkEnd w:id="42"/>
    <w:bookmarkStart w:id="44"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3">
        <w:r>
          <w:rPr>
            <w:rStyle w:val="Hyperlink"/>
          </w:rPr>
          <w:t xml:space="preserve">https://doi.org/10.1016/j.baae.2011.09.008</w:t>
        </w:r>
      </w:hyperlink>
    </w:p>
    <w:bookmarkEnd w:id="44"/>
    <w:bookmarkStart w:id="46"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5">
        <w:r>
          <w:rPr>
            <w:rStyle w:val="Hyperlink"/>
          </w:rPr>
          <w:t xml:space="preserve">https://doi.org/10.1111/2041-210X.12713</w:t>
        </w:r>
      </w:hyperlink>
    </w:p>
    <w:bookmarkEnd w:id="46"/>
    <w:bookmarkStart w:id="48"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7">
        <w:r>
          <w:rPr>
            <w:rStyle w:val="Hyperlink"/>
          </w:rPr>
          <w:t xml:space="preserve">https://doi.org/10.1038/s41467-024-53000-2</w:t>
        </w:r>
      </w:hyperlink>
    </w:p>
    <w:bookmarkEnd w:id="48"/>
    <w:bookmarkStart w:id="49"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49"/>
    <w:bookmarkStart w:id="51"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0">
        <w:r>
          <w:rPr>
            <w:rStyle w:val="Hyperlink"/>
          </w:rPr>
          <w:t xml:space="preserve">https://doi.org/10.1126/science.abn4012</w:t>
        </w:r>
      </w:hyperlink>
    </w:p>
    <w:bookmarkEnd w:id="51"/>
    <w:bookmarkStart w:id="53"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2">
        <w:r>
          <w:rPr>
            <w:rStyle w:val="Hyperlink"/>
          </w:rPr>
          <w:t xml:space="preserve">https://doi.org/10.1111/oik.01588</w:t>
        </w:r>
      </w:hyperlink>
    </w:p>
    <w:bookmarkEnd w:id="53"/>
    <w:bookmarkStart w:id="55"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4">
        <w:r>
          <w:rPr>
            <w:rStyle w:val="Hyperlink"/>
          </w:rPr>
          <w:t xml:space="preserve">https://doi.org/10.64898/2026.02.24.707709</w:t>
        </w:r>
      </w:hyperlink>
      <w:r>
        <w:t xml:space="preserve"> </w:t>
      </w:r>
      <w:r>
        <w:t xml:space="preserve">(Pre-published)</w:t>
      </w:r>
    </w:p>
    <w:bookmarkEnd w:id="55"/>
    <w:bookmarkStart w:id="57"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6">
        <w:r>
          <w:rPr>
            <w:rStyle w:val="Hyperlink"/>
          </w:rPr>
          <w:t xml:space="preserve">https://doi.org/10.1111/2041-210X.14497</w:t>
        </w:r>
      </w:hyperlink>
    </w:p>
    <w:bookmarkEnd w:id="57"/>
    <w:bookmarkStart w:id="59"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8">
        <w:r>
          <w:rPr>
            <w:rStyle w:val="Hyperlink"/>
          </w:rPr>
          <w:t xml:space="preserve">https://doi.org/10.1086/587068</w:t>
        </w:r>
      </w:hyperlink>
    </w:p>
    <w:bookmarkEnd w:id="59"/>
    <w:bookmarkStart w:id="61"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0">
        <w:r>
          <w:rPr>
            <w:rStyle w:val="Hyperlink"/>
          </w:rPr>
          <w:t xml:space="preserve">https://www.jstor.org/stable/4096814</w:t>
        </w:r>
      </w:hyperlink>
    </w:p>
    <w:bookmarkEnd w:id="61"/>
    <w:bookmarkStart w:id="63"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2">
        <w:r>
          <w:rPr>
            <w:rStyle w:val="Hyperlink"/>
          </w:rPr>
          <w:t xml:space="preserve">https://doi.org/10.1101/2024.01.30.578036</w:t>
        </w:r>
      </w:hyperlink>
      <w:r>
        <w:t xml:space="preserve"> </w:t>
      </w:r>
      <w:r>
        <w:t xml:space="preserve">(Pre-published)</w:t>
      </w:r>
    </w:p>
    <w:bookmarkEnd w:id="63"/>
    <w:bookmarkStart w:id="65"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4">
        <w:r>
          <w:rPr>
            <w:rStyle w:val="Hyperlink"/>
          </w:rPr>
          <w:t xml:space="preserve">https://doi.org/10.1111/2041-210X.13835</w:t>
        </w:r>
      </w:hyperlink>
    </w:p>
    <w:bookmarkEnd w:id="65"/>
    <w:bookmarkStart w:id="67"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6">
        <w:r>
          <w:rPr>
            <w:rStyle w:val="Hyperlink"/>
          </w:rPr>
          <w:t xml:space="preserve">https://doi.org/10.1098/rstb.2021.0063</w:t>
        </w:r>
      </w:hyperlink>
    </w:p>
    <w:bookmarkEnd w:id="67"/>
    <w:bookmarkStart w:id="69"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8">
        <w:r>
          <w:rPr>
            <w:rStyle w:val="Hyperlink"/>
          </w:rPr>
          <w:t xml:space="preserve">https://ecoevorxiv.org/repository/view/11514/</w:t>
        </w:r>
      </w:hyperlink>
    </w:p>
    <w:bookmarkEnd w:id="69"/>
    <w:bookmarkStart w:id="71"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0">
        <w:r>
          <w:rPr>
            <w:rStyle w:val="Hyperlink"/>
          </w:rPr>
          <w:t xml:space="preserve">https://ecoevorxiv.org/repository/view/13495/</w:t>
        </w:r>
      </w:hyperlink>
    </w:p>
    <w:bookmarkEnd w:id="71"/>
    <w:bookmarkStart w:id="73"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2">
        <w:r>
          <w:rPr>
            <w:rStyle w:val="Hyperlink"/>
          </w:rPr>
          <w:t xml:space="preserve">https://doi.org/10.1038/35004572</w:t>
        </w:r>
      </w:hyperlink>
    </w:p>
    <w:bookmarkEnd w:id="73"/>
    <w:bookmarkStart w:id="75"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74">
        <w:r>
          <w:rPr>
            <w:rStyle w:val="Hyperlink"/>
          </w:rPr>
          <w:t xml:space="preserve">https://doi.org/10.1086/285380</w:t>
        </w:r>
      </w:hyperlink>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3" Target="https://doi.org/10.1016/j.baae.2011.09.008" TargetMode="External" /><Relationship Type="http://schemas.openxmlformats.org/officeDocument/2006/relationships/hyperlink" Id="rId72"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74"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6" Target="https://doi.org/10.1098/rstb.2021.0063" TargetMode="External" /><Relationship Type="http://schemas.openxmlformats.org/officeDocument/2006/relationships/hyperlink" Id="rId62"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4"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8" Target="https://ecoevorxiv.org/repository/view/11514/" TargetMode="External" /><Relationship Type="http://schemas.openxmlformats.org/officeDocument/2006/relationships/hyperlink" Id="rId70" Target="https://ecoevorxiv.org/repository/view/13495/" TargetMode="External" /><Relationship Type="http://schemas.openxmlformats.org/officeDocument/2006/relationships/hyperlink" Id="rId60"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16/j.baae.2011.09.008" TargetMode="External" /><Relationship Type="http://schemas.openxmlformats.org/officeDocument/2006/relationships/hyperlink" Id="rId72" Target="https://doi.org/10.1038/35004572" TargetMode="External" /><Relationship Type="http://schemas.openxmlformats.org/officeDocument/2006/relationships/hyperlink" Id="rId47" Target="https://doi.org/10.1038/s41467-024-53000-2" TargetMode="External" /><Relationship Type="http://schemas.openxmlformats.org/officeDocument/2006/relationships/hyperlink" Id="rId74" Target="https://doi.org/10.1086/285380" TargetMode="External" /><Relationship Type="http://schemas.openxmlformats.org/officeDocument/2006/relationships/hyperlink" Id="rId58" Target="https://doi.org/10.1086/587068" TargetMode="External" /><Relationship Type="http://schemas.openxmlformats.org/officeDocument/2006/relationships/hyperlink" Id="rId41" Target="https://doi.org/10.1098/rspb.1985.0042" TargetMode="External" /><Relationship Type="http://schemas.openxmlformats.org/officeDocument/2006/relationships/hyperlink" Id="rId66" Target="https://doi.org/10.1098/rstb.2021.0063" TargetMode="External" /><Relationship Type="http://schemas.openxmlformats.org/officeDocument/2006/relationships/hyperlink" Id="rId62" Target="https://doi.org/10.1101/2024.01.30.578036" TargetMode="External" /><Relationship Type="http://schemas.openxmlformats.org/officeDocument/2006/relationships/hyperlink" Id="rId45" Target="https://doi.org/10.1111/2041-210X.12713" TargetMode="External" /><Relationship Type="http://schemas.openxmlformats.org/officeDocument/2006/relationships/hyperlink" Id="rId64" Target="https://doi.org/10.1111/2041-210X.13835" TargetMode="External" /><Relationship Type="http://schemas.openxmlformats.org/officeDocument/2006/relationships/hyperlink" Id="rId56" Target="https://doi.org/10.1111/2041-210X.14497" TargetMode="External" /><Relationship Type="http://schemas.openxmlformats.org/officeDocument/2006/relationships/hyperlink" Id="rId52" Target="https://doi.org/10.1111/oik.01588" TargetMode="External" /><Relationship Type="http://schemas.openxmlformats.org/officeDocument/2006/relationships/hyperlink" Id="rId50" Target="https://doi.org/10.1126/science.abn4012" TargetMode="External" /><Relationship Type="http://schemas.openxmlformats.org/officeDocument/2006/relationships/hyperlink" Id="rId35" Target="https://doi.org/10.1137/141000671" TargetMode="External" /><Relationship Type="http://schemas.openxmlformats.org/officeDocument/2006/relationships/hyperlink" Id="rId37" Target="https://doi.org/10.1371/journal.pbio.3002068" TargetMode="External" /><Relationship Type="http://schemas.openxmlformats.org/officeDocument/2006/relationships/hyperlink" Id="rId39" Target="https://doi.org/10.1890/0012-9658(2006)87[2411:CBRINF]2.0.CO;2" TargetMode="External" /><Relationship Type="http://schemas.openxmlformats.org/officeDocument/2006/relationships/hyperlink" Id="rId54" Target="https://doi.org/10.64898/2026.02.24.707709" TargetMode="External" /><Relationship Type="http://schemas.openxmlformats.org/officeDocument/2006/relationships/hyperlink" Id="rId68" Target="https://ecoevorxiv.org/repository/view/11514/" TargetMode="External" /><Relationship Type="http://schemas.openxmlformats.org/officeDocument/2006/relationships/hyperlink" Id="rId70" Target="https://ecoevorxiv.org/repository/view/13495/" TargetMode="External" /><Relationship Type="http://schemas.openxmlformats.org/officeDocument/2006/relationships/hyperlink" Id="rId60"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2026-08-10T10:16:19Z</dcterms:created>
  <dcterms:modified xsi:type="dcterms:W3CDTF">2026-08-10T10:16:19Z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2026-08-10</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