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4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2026-08-06</w:t>
      </w:r>
    </w:p>
    <w:p>
      <w:pPr>
        <w:pStyle w:val="AbstractTitle"/>
      </w:pPr>
      <w:r>
        <w:t xml:space="preserve">Abstract</w:t>
      </w:r>
    </w:p>
    <w:p>
      <w:pPr>
        <w:pStyle w:val="Abstract"/>
      </w:pPr>
      <w:r>
        <w:t xml:space="preserve">TODO</w:t>
      </w:r>
    </w:p>
    <w:bookmarkStart w:id="20"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20"/>
    <w:bookmarkStart w:id="30" w:name="methods"/>
    <w:p>
      <w:pPr>
        <w:pStyle w:val="Heading1"/>
      </w:pPr>
      <w:r>
        <w:t xml:space="preserve">2. Methods</w:t>
      </w:r>
    </w:p>
    <w:bookmarkStart w:id="21"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21"/>
    <w:bookmarkStart w:id="22"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22"/>
    <w:bookmarkStart w:id="27"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23"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
              </m:rPr>
              <m:t>u</m:t>
            </m:r>
          </m:e>
          <m:sub>
            <m:r>
              <m:t>1</m:t>
            </m:r>
          </m:sub>
        </m:sSub>
      </m:oMath>
      <w:r>
        <w:t xml:space="preserve"> </w:t>
      </w:r>
      <w:r>
        <w:t xml:space="preserve">and</w:t>
      </w:r>
      <w:r>
        <w:t xml:space="preserve"> </w:t>
      </w:r>
      <m:oMath>
        <m:sSub>
          <m:e>
            <m:r>
              <m:rPr>
                <m:sty m:val="b"/>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d>
                <m:dPr>
                  <m:begChr m:val="("/>
                  <m:sepChr m:val=""/>
                  <m:endChr m:val=")"/>
                  <m:grow/>
                </m:dPr>
                <m:e>
                  <m:sSub>
                    <m:e>
                      <m:r>
                        <m:t>x</m:t>
                      </m:r>
                    </m:e>
                    <m:sub>
                      <m:r>
                        <m:t>j</m:t>
                      </m:r>
                    </m:sub>
                  </m:sSub>
                </m:e>
              </m:d>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
            <m:e>
              <m:r>
                <m:t>σ</m:t>
              </m:r>
            </m:e>
            <m:sub>
              <m:r>
                <m:t>i</m:t>
              </m:r>
            </m:sub>
          </m:sSub>
          <m:r>
            <m:rPr>
              <m:sty m:val="p"/>
            </m:rPr>
            <m:t>′</m:t>
          </m:r>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
                            <m:e>
                              <m:r>
                                <m:t>σ</m:t>
                              </m:r>
                            </m:e>
                            <m:sub>
                              <m:r>
                                <m:t>i</m:t>
                              </m:r>
                            </m:sub>
                          </m:sSub>
                          <m:r>
                            <m:rPr>
                              <m:sty m:val="p"/>
                            </m:rPr>
                            <m:t>′</m:t>
                          </m:r>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23"/>
    <w:bookmarkStart w:id="24"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d>
                <m:dPr>
                  <m:begChr m:val="("/>
                  <m:sepChr m:val=""/>
                  <m:endChr m:val=")"/>
                  <m:grow/>
                </m:dPr>
                <m:e>
                  <m:r>
                    <m:t>y</m:t>
                  </m:r>
                  <m:r>
                    <m:rPr>
                      <m:sty m:val="p"/>
                    </m:rPr>
                    <m:t>−</m:t>
                  </m:r>
                  <m:r>
                    <m:t>1</m:t>
                  </m:r>
                </m:e>
              </m:d>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24"/>
    <w:bookmarkStart w:id="25"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d>
                <m:dPr>
                  <m:begChr m:val="("/>
                  <m:sepChr m:val=""/>
                  <m:endChr m:val=")"/>
                  <m:grow/>
                </m:dPr>
                <m:e>
                  <m:r>
                    <m:t>w</m:t>
                  </m:r>
                </m:e>
              </m:d>
            </m:den>
          </m:f>
          <m:r>
            <m:rPr>
              <m:sty m:val="p"/>
            </m:rPr>
            <m:t>,</m:t>
          </m:r>
        </m:oMath>
      </m:oMathPara>
    </w:p>
    <w:p>
      <w:pPr>
        <w:pStyle w:val="FirstParagraph"/>
      </w:pPr>
      <w:r>
        <w:t xml:space="preserve">before being constrained to the interval</w:t>
      </w:r>
      <w:r>
        <w:t xml:space="preserve"> </w:t>
      </w:r>
      <m:oMath>
        <m:d>
          <m:dPr>
            <m:begChr m:val="["/>
            <m:sepChr m:val=""/>
            <m:endChr m:val="]"/>
            <m:grow/>
          </m:dPr>
          <m:e>
            <m:r>
              <m:t>0</m:t>
            </m:r>
            <m:r>
              <m:rPr>
                <m:sty m:val="p"/>
              </m:rPr>
              <m:t>,</m:t>
            </m:r>
            <m:r>
              <m:t>1</m:t>
            </m:r>
          </m:e>
        </m:d>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25"/>
    <w:bookmarkStart w:id="26"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26"/>
    <w:bookmarkEnd w:id="27"/>
    <w:bookmarkStart w:id="28"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28"/>
    <w:bookmarkStart w:id="29"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29"/>
    <w:bookmarkEnd w:id="30"/>
    <w:bookmarkStart w:id="35"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34" w:name="fig-downsample"/>
          <w:p>
            <w:pPr>
              <w:pStyle w:val="Compact"/>
              <w:jc w:val="center"/>
            </w:pPr>
            <w:r>
              <w:drawing>
                <wp:inline>
                  <wp:extent cx="5334000" cy="5334000"/>
                  <wp:effectExtent b="0" l="0" r="0" t="0"/>
                  <wp:docPr descr="" title="" id="32" name="Picture"/>
                  <a:graphic>
                    <a:graphicData uri="http://schemas.openxmlformats.org/drawingml/2006/picture">
                      <pic:pic>
                        <pic:nvPicPr>
                          <pic:cNvPr descr="figures/downsamplingEffect.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34"/>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35"/>
    <w:bookmarkStart w:id="40"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t>Δ</m:t>
        </m:r>
        <m:sSub>
          <m:e>
            <m:r>
              <m:t>R</m:t>
            </m:r>
          </m:e>
          <m:sub>
            <m:r>
              <m:t>50</m:t>
            </m:r>
          </m:sub>
        </m:sSub>
      </m:oMath>
      <w:r>
        <w:t xml:space="preserve">) among network types for each extinction scenario while accounting for community-level variation. Network type significantly affected</w:t>
      </w:r>
      <w:r>
        <w:t xml:space="preserve"> </w:t>
      </w:r>
      <m:oMath>
        <m: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39" w:name="fig-TopoVDynamic"/>
          <w:p>
            <w:pPr>
              <w:pStyle w:val="Compact"/>
              <w:jc w:val="center"/>
            </w:pPr>
            <w:r>
              <w:drawing>
                <wp:inline>
                  <wp:extent cx="5334000" cy="3368842"/>
                  <wp:effectExtent b="0" l="0" r="0" t="0"/>
                  <wp:docPr descr="" title="" id="37" name="Picture"/>
                  <a:graphic>
                    <a:graphicData uri="http://schemas.openxmlformats.org/drawingml/2006/picture">
                      <pic:pic>
                        <pic:nvPicPr>
                          <pic:cNvPr descr="figures/robustnessTopoVDynamic.png" id="38" name="Picture"/>
                          <pic:cNvPicPr>
                            <a:picLocks noChangeArrowheads="1" noChangeAspect="1"/>
                          </pic:cNvPicPr>
                        </pic:nvPicPr>
                        <pic:blipFill>
                          <a:blip r:embed="rId36"/>
                          <a:stretch>
                            <a:fillRect/>
                          </a:stretch>
                        </pic:blipFill>
                        <pic:spPr bwMode="auto">
                          <a:xfrm>
                            <a:off x="0" y="0"/>
                            <a:ext cx="5334000" cy="3368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39"/>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40"/>
    <w:bookmarkStart w:id="49" w:name="Xc8e272c73ad6d078d0b8da4135f7ccd680d80a5"/>
    <w:p>
      <w:pPr>
        <w:pStyle w:val="Heading1"/>
      </w:pPr>
      <w:r>
        <w:t xml:space="preserve">5. Downsampling and burn-in alter inferred topological robustness</w:t>
      </w:r>
    </w:p>
    <w:p>
      <w:pPr>
        <w:pStyle w:val="BlockText"/>
      </w:pPr>
      <w:r>
        <w:t xml:space="preserve">this is probably destined as a supp matt exercise</w:t>
      </w:r>
    </w:p>
    <w:p>
      <w:pPr>
        <w:pStyle w:val="FirstParagraph"/>
      </w:pPr>
      <w:r>
        <w:t xml:space="preserve">To determine how ecological assumptions underlying downsampling influence emergent robustness, we examined how differences in robustness between downsampled networks and three reference</w:t>
      </w:r>
      <w:r>
        <w:t xml:space="preserve"> </w:t>
      </w:r>
      <w:r>
        <w:t xml:space="preserve">‘states’</w:t>
      </w:r>
      <w:r>
        <w:t xml:space="preserve"> </w:t>
      </w:r>
      <w:r>
        <w:t xml:space="preserve">(metaweb, ATN, and niche model) changed with increasing degree of downsampling (</w:t>
      </w:r>
      <m:oMath>
        <m:sSub>
          <m:e>
            <m:r>
              <m:t>Δ</m:t>
            </m:r>
          </m:e>
          <m:sub>
            <m:r>
              <m:t>c</m:t>
            </m:r>
            <m:r>
              <m:t>o</m:t>
            </m:r>
            <m:r>
              <m:t>n</m:t>
            </m:r>
            <m:r>
              <m:t>n</m:t>
            </m:r>
            <m:r>
              <m:t>e</m:t>
            </m:r>
            <m:r>
              <m:t>c</m:t>
            </m:r>
            <m:r>
              <m:t>t</m:t>
            </m:r>
            <m:r>
              <m:t>a</m:t>
            </m:r>
            <m:r>
              <m:t>n</m:t>
            </m:r>
            <m:r>
              <m:t>c</m:t>
            </m:r>
            <m:r>
              <m:t>e</m:t>
            </m:r>
          </m:sub>
        </m:sSub>
      </m:oMath>
      <w:r>
        <w:t xml:space="preserve">). As the degree of downsampling increased, robustness trajectories increasingly diverged from the original metaweb, but the direction of this divergence depended on both the ecological mechanism used to remove interactions and the extinction scenario considered (Panel A;</w:t>
      </w:r>
      <w:r>
        <w:t xml:space="preserve"> </w:t>
      </w:r>
      <w:hyperlink w:anchor="fig-robDownsample">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fig-robDownsample"/>
          <w:p>
            <w:pPr>
              <w:pStyle w:val="Compact"/>
              <w:jc w:val="center"/>
            </w:pPr>
            <w:r>
              <w:drawing>
                <wp:inline>
                  <wp:extent cx="5334000" cy="3088105"/>
                  <wp:effectExtent b="0" l="0" r="0" t="0"/>
                  <wp:docPr descr="" title="" id="42" name="Picture"/>
                  <a:graphic>
                    <a:graphicData uri="http://schemas.openxmlformats.org/drawingml/2006/picture">
                      <pic:pic>
                        <pic:nvPicPr>
                          <pic:cNvPr descr="figures/robustnessDownsampling.png" id="43" name="Picture"/>
                          <pic:cNvPicPr>
                            <a:picLocks noChangeArrowheads="1" noChangeAspect="1"/>
                          </pic:cNvPicPr>
                        </pic:nvPicPr>
                        <pic:blipFill>
                          <a:blip r:embed="rId41"/>
                          <a:stretch>
                            <a:fillRect/>
                          </a:stretch>
                        </pic:blipFill>
                        <pic:spPr bwMode="auto">
                          <a:xfrm>
                            <a:off x="0" y="0"/>
                            <a:ext cx="5334000" cy="308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44"/>
        </w:tc>
      </w:tr>
    </w:tbl>
    <w:p>
      <w:pPr>
        <w:pStyle w:val="BodyText"/>
      </w:pPr>
      <w:r>
        <w:t xml:space="preserve">Under body-mass ordered extinction, reductions in connectance produced increasingly divergent robustness responses relative to the metaweb, while trajectories relative to the niche and ATN reference states were weaker and more variable. This pattern was reflected in a strong interaction between connectance reduction and reference state (</w:t>
      </w:r>
      <m:oMath>
        <m:sSup>
          <m:e>
            <m:r>
              <m:t>χ</m:t>
            </m:r>
          </m:e>
          <m:sup>
            <m:r>
              <m:t>2</m:t>
            </m:r>
          </m:sup>
        </m:sSup>
      </m:oMath>
      <w:r>
        <w:t xml:space="preserve"> </w:t>
      </w:r>
      <w:r>
        <w:t xml:space="preserve">= 384,</w:t>
      </w:r>
      <w:r>
        <w:t xml:space="preserve"> </w:t>
      </w:r>
      <m:oMath>
        <m:r>
          <m:t>p</m:t>
        </m:r>
      </m:oMath>
      <w:r>
        <w:t xml:space="preserve"> </w:t>
      </w:r>
      <w:r>
        <w:t xml:space="preserve">&lt; 0.001). Similar reference-dependent trajectories occurred under degree-based extinction (</w:t>
      </w:r>
      <m:oMath>
        <m:sSub>
          <m:e>
            <m:r>
              <m:t>Δ</m:t>
            </m:r>
          </m:e>
          <m:sub>
            <m:r>
              <m:t>c</m:t>
            </m:r>
            <m:r>
              <m:t>o</m:t>
            </m:r>
            <m:r>
              <m:t>n</m:t>
            </m:r>
            <m:r>
              <m:t>n</m:t>
            </m:r>
            <m:r>
              <m:t>e</m:t>
            </m:r>
            <m:r>
              <m:t>c</m:t>
            </m:r>
            <m:r>
              <m:t>t</m:t>
            </m:r>
            <m:r>
              <m:t>a</m:t>
            </m:r>
            <m:r>
              <m:t>n</m:t>
            </m:r>
            <m:r>
              <m:t>c</m:t>
            </m:r>
            <m:r>
              <m:t>e</m:t>
            </m:r>
          </m:sub>
        </m:sSub>
      </m:oMath>
      <w:r>
        <w:t xml:space="preserve"> </w:t>
      </w:r>
      <m:oMath>
        <m:r>
          <m:rPr>
            <m:sty m:val="p"/>
          </m:rPr>
          <m:t>×</m:t>
        </m:r>
      </m:oMath>
      <w:r>
        <w:t xml:space="preserve"> </w:t>
      </w:r>
      <w:r>
        <w:t xml:space="preserve">reference</w:t>
      </w:r>
      <w:r>
        <w:t xml:space="preserve"> </w:t>
      </w:r>
      <m:oMath>
        <m:r>
          <m:rPr>
            <m:sty m:val="p"/>
          </m:rPr>
          <m:t>×</m:t>
        </m:r>
      </m:oMath>
      <w:r>
        <w:t xml:space="preserve"> </w:t>
      </w:r>
      <w:r>
        <w:t xml:space="preserve">downsampling approach:</w:t>
      </w:r>
      <w:r>
        <w:t xml:space="preserve"> </w:t>
      </w:r>
      <m:oMath>
        <m:sSup>
          <m:e>
            <m:r>
              <m:t>χ</m:t>
            </m:r>
          </m:e>
          <m:sup>
            <m:r>
              <m:t>2</m:t>
            </m:r>
          </m:sup>
        </m:sSup>
      </m:oMath>
      <w:r>
        <w:t xml:space="preserve"> </w:t>
      </w:r>
      <w:r>
        <w:t xml:space="preserve">= 98.7,</w:t>
      </w:r>
      <w:r>
        <w:t xml:space="preserve"> </w:t>
      </w:r>
      <m:oMath>
        <m:r>
          <m:t>p</m:t>
        </m:r>
      </m:oMath>
      <w:r>
        <w:t xml:space="preserve"> </w:t>
      </w:r>
      <w:r>
        <w:t xml:space="preserve">&lt; 0.001) and random consumer removal (</w:t>
      </w:r>
      <m:oMath>
        <m:sSup>
          <m:e>
            <m:r>
              <m:t>χ</m:t>
            </m:r>
          </m:e>
          <m:sup>
            <m:r>
              <m:t>2</m:t>
            </m:r>
          </m:sup>
        </m:sSup>
      </m:oMath>
      <w:r>
        <w:t xml:space="preserve"> </w:t>
      </w:r>
      <w:r>
        <w:t xml:space="preserve">= 22.1,</w:t>
      </w:r>
      <w:r>
        <w:t xml:space="preserve"> </w:t>
      </w:r>
      <m:oMath>
        <m:r>
          <m:t>p</m:t>
        </m:r>
      </m:oMath>
      <w:r>
        <w:t xml:space="preserve"> </w:t>
      </w:r>
      <w:r>
        <w:t xml:space="preserve">= 0.001), whereas random basal removal showed little evidence that the mechanism of downsampling altered robustness trajectories (</w:t>
      </w:r>
      <m:oMath>
        <m:sSup>
          <m:e>
            <m:r>
              <m:t>χ</m:t>
            </m:r>
          </m:e>
          <m:sup>
            <m:r>
              <m:t>2</m:t>
            </m:r>
          </m:sup>
        </m:sSup>
      </m:oMath>
      <w:r>
        <w:t xml:space="preserve"> </w:t>
      </w:r>
      <w:r>
        <w:t xml:space="preserve">= 0.54,</w:t>
      </w:r>
      <w:r>
        <w:t xml:space="preserve"> </w:t>
      </w:r>
      <m:oMath>
        <m:r>
          <m:t>p</m:t>
        </m:r>
      </m:oMath>
      <w:r>
        <w:t xml:space="preserve"> </w:t>
      </w:r>
      <w:r>
        <w:t xml:space="preserve">= 0.997)</w:t>
      </w:r>
    </w:p>
    <w:p>
      <w:pPr>
        <w:pStyle w:val="BodyText"/>
      </w:pPr>
      <w:r>
        <w:t xml:space="preserve">Interestingly, burn-in further modified the relationship between downsampled networks and realised reference states. Comparison of robustness before and after burn-in showed that the process of dynamic modelling altered the magnitude and direction of divergence between downsampled networks and the metaweb, ATN, and niche references (Panel B</w:t>
      </w:r>
      <w:r>
        <w:t xml:space="preserve"> </w:t>
      </w:r>
      <w:hyperlink w:anchor="fig-robDownsample">
        <w:r>
          <w:rPr>
            <w:rStyle w:val="Hyperlink"/>
          </w:rPr>
          <w:t xml:space="preserve">Figure 3</w:t>
        </w:r>
      </w:hyperlink>
      <w:r>
        <w:t xml:space="preserve">). Thus, the ecological assumptions imposed during downsampling do not fully determine the final properties of a realised network; subsequent dynamical processes provide an additional filter that can either reinforce or reduce differences among reconstruction approaches.</w:t>
      </w:r>
    </w:p>
    <w:p>
      <w:pPr>
        <w:pStyle w:val="BodyText"/>
      </w:pPr>
      <w:r>
        <w:t xml:space="preserve">Together, these results demonstrate that reducing the connectance of a metaweb alone does not determine how inferred robustness changes; rather, the ecological assumptions governing which interactions are retained determine which structural properties of the metaweb are preserved and which are lost. As more links are removed the downsampling approach increasingly imposes these assumptions, different downsampling approaches produce distinct robustness trajectories, with the magnitude of these differences depending on the extinction scenario considered. Furthermore, dynamic burn-in modifies these relationships, demonstrating that the robustness of a reconstructed network at creation does not necessarily represent the robustness of the dynamically realised community. Therefore, conclusions drawn from extinction simulations depend not only on the extinction mechanism itself, but also on the ecological assumptions used to translate potential interactions within a metaweb into realised network structure.</w:t>
      </w:r>
    </w:p>
    <w:p>
      <w:pPr>
        <w:pStyle w:val="BodyText"/>
      </w:pPr>
      <w:r>
        <w:t xml:space="preserve"># Dynamic extinctions re-enforce ecological assumptions</w:t>
      </w:r>
    </w:p>
    <w:p>
      <w:pPr>
        <w:pStyle w:val="BodyText"/>
      </w:pPr>
      <w:r>
        <w:t xml:space="preserve">To evaluate how interaction filtering influences dynamic behavior,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4</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4</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48" w:name="fig-robDynamic"/>
          <w:p>
            <w:pPr>
              <w:pStyle w:val="Compact"/>
              <w:jc w:val="center"/>
            </w:pPr>
            <w:r>
              <w:drawing>
                <wp:inline>
                  <wp:extent cx="5334000" cy="6400800"/>
                  <wp:effectExtent b="0" l="0" r="0" t="0"/>
                  <wp:docPr descr="" title="" id="46" name="Picture"/>
                  <a:graphic>
                    <a:graphicData uri="http://schemas.openxmlformats.org/drawingml/2006/picture">
                      <pic:pic>
                        <pic:nvPicPr>
                          <pic:cNvPr descr="figures/robustnessHighLevel.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48"/>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4</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49"/>
    <w:bookmarkStart w:id="52" w:name="conclusions"/>
    <w:p>
      <w:pPr>
        <w:pStyle w:val="Heading1"/>
      </w:pPr>
      <w:r>
        <w:t xml:space="preserve">6. Conclusions</w:t>
      </w:r>
    </w:p>
    <w:p>
      <w:pPr>
        <w:pStyle w:val="FirstParagraph"/>
      </w:pPr>
      <w:r>
        <w:t xml:space="preserve">Reconstructing local food webs from regional metawebs requires explicit assumptions about how ecological processes filter potential interactions into realised local networks. By comparing four downsampling approaches across topological and dynamic extinction scenarios, we demonstrate that the mechanism of interaction removal influences both the structural topology of the resulting networks and their inferred robustness to extinction.</w:t>
      </w:r>
    </w:p>
    <w:bookmarkStart w:id="50" w:name="structural-vs.-dynamic-fragility"/>
    <w:p>
      <w:pPr>
        <w:pStyle w:val="Heading2"/>
      </w:pPr>
      <w:r>
        <w:t xml:space="preserve">6.1 Structural vs. dynamic fragility</w:t>
      </w:r>
    </w:p>
    <w:p>
      <w:pPr>
        <w:pStyle w:val="FirstParagraph"/>
      </w:pPr>
      <w:r>
        <w:t xml:space="preserve">Our results confirm that the qualitative discrepancy between topological and dynamic robustness identified by</w:t>
      </w:r>
      <w:r>
        <w:t xml:space="preserve"> </w:t>
      </w:r>
      <w:r>
        <w:t xml:space="preserve">Curtsdotter et al. (2011)</w:t>
      </w:r>
      <w:r>
        <w:t xml:space="preserve"> </w:t>
      </w:r>
      <w:r>
        <w:t xml:space="preserve">extends across alternative network reconstructions. Under most extinction scenarios, topological simulations inferred greater robustness than dynamic simulations regardless of downsampling approach. Topological extinctions treat networks as static topological dependency graphs, whereas dynamic extinctions incorporate biomass drawdown, competitive release, and rate-dependent secondary collapses. Consequently, static metrics consistently provide a conservative estimate of community vulnerability.</w:t>
      </w:r>
    </w:p>
    <w:p>
      <w:pPr>
        <w:pStyle w:val="BodyText"/>
      </w:pPr>
      <w:r>
        <w:t xml:space="preserve">Importantly, while downsampling methods generated distinct initial topologies, their effects on topological robustness were relatively modest—likely because initial metawebs were already relatively sparse (mas Co = 0.20). However, once bio-energetic dynamics were introduced, subtle structural differences translated into substantial variations in dynamic persistence. Dynamic extinctions are strongly driven by node-level properties and metabolic rates rather than link topology alone. Thus, inferred dynamic robustness reflects an interaction between network structure and the physiological constraints imposed upon it.</w:t>
      </w:r>
    </w:p>
    <w:p>
      <w:pPr>
        <w:pStyle w:val="BodyText"/>
      </w:pPr>
      <w:r>
        <w:t xml:space="preserve">## Mapping empirical networks or model philosophy?</w:t>
      </w:r>
    </w:p>
    <w:p>
      <w:pPr>
        <w:pStyle w:val="BodyText"/>
      </w:pPr>
      <w:r>
        <w:t xml:space="preserve">A central question arising from our findings is whether dynamic simulations evaluate empirical reality or simply mirror the assumptions of the underlying models</w:t>
      </w:r>
      <w:r>
        <w:t xml:space="preserve"> </w:t>
      </w:r>
      <w:r>
        <w:t xml:space="preserve">(Strydom, Karapunar, et al., 2026)</w:t>
      </w:r>
      <w:r>
        <w:t xml:space="preserve">. The dynamic convergence between SVD-downsampled metawebs and synthetic niche models highlights a fundamental circularity - because frameworks like the BEFW rely heavily on body-mass ratios and trophic positioning to derive interaction rates, networks constructed around niche-ordering assumptions naturally align with these dynamic engines. Conversely, downsampling methods that do not enforce trophic hierarchy (such as degree-product or random link removal) introduce structural configurations that interact differently with allometric scaling rules, leading to divergent dynamic behaviors.</w:t>
      </w:r>
    </w:p>
    <w:p>
      <w:pPr>
        <w:pStyle w:val="BodyText"/>
      </w:pPr>
      <w:r>
        <w:t xml:space="preserve">This distinction is particularly evident when comparing the ATN and empirical downsampled networks. Although the ATN model is widely used as a realistic benchmark, its dynamic behaviour diverged from both the niche model. This underscores that no single synthetic network model can be treated as an absolute benchmark for realised food-web dynamics.</w:t>
      </w:r>
    </w:p>
    <w:bookmarkEnd w:id="50"/>
    <w:bookmarkStart w:id="51" w:name="implications-for-network-reconstruction"/>
    <w:p>
      <w:pPr>
        <w:pStyle w:val="Heading2"/>
      </w:pPr>
      <w:r>
        <w:t xml:space="preserve">6.2 Implications for network reconstruction</w:t>
      </w:r>
    </w:p>
    <w:p>
      <w:pPr>
        <w:pStyle w:val="FirstParagraph"/>
      </w:pPr>
      <w:r>
        <w:t xml:space="preserve">While there is no single correct downsampling approach, our results offer practical considerations for empirically-derived metaweb downsampling:</w:t>
      </w:r>
    </w:p>
    <w:p>
      <w:pPr>
        <w:pStyle w:val="Compact"/>
        <w:numPr>
          <w:ilvl w:val="0"/>
          <w:numId w:val="1001"/>
        </w:numPr>
      </w:pPr>
      <w:r>
        <w:t xml:space="preserve">Alignment with dynamic frameworks: If the objective is to parameterise dynamic biomass simulations using allometric or bio-energetic models, SVD-based niche downsampling provides an internally consistent approach that preserves trophic hierarchy without imposing arbitrary degree distributions.</w:t>
      </w:r>
    </w:p>
    <w:p>
      <w:pPr>
        <w:pStyle w:val="Compact"/>
        <w:numPr>
          <w:ilvl w:val="0"/>
          <w:numId w:val="1001"/>
        </w:numPr>
      </w:pPr>
      <w:r>
        <w:t xml:space="preserve">Caution with unconstrained null models: Random downsampling introduces topological distortions that increase structural displacement during burn-in (</w:t>
      </w:r>
      <w:hyperlink w:anchor="fig-downsample">
        <w:r>
          <w:rPr>
            <w:rStyle w:val="Hyperlink"/>
          </w:rPr>
          <w:t xml:space="preserve">Figure 1</w:t>
        </w:r>
      </w:hyperlink>
      <w:r>
        <w:t xml:space="preserve">) and generate unpredictable dynamic responses, making it unsuitable as an ecologically informative filter.</w:t>
      </w:r>
    </w:p>
    <w:p>
      <w:pPr>
        <w:pStyle w:val="Compact"/>
        <w:numPr>
          <w:ilvl w:val="0"/>
          <w:numId w:val="1001"/>
        </w:numPr>
      </w:pPr>
      <w:r>
        <w:t xml:space="preserve">Evaluating static and dynamic stability together: Because topological extinctions represent an upper bound of structural robustness and dynamic extinctions reflect rate-dependent persistence, reporting both provides a clearer picture of network robustness.</w:t>
      </w:r>
    </w:p>
    <w:p>
      <w:pPr>
        <w:pStyle w:val="FirstParagraph"/>
      </w:pPr>
      <w:r>
        <w:t xml:space="preserve">Ultimately, downsampling a metaweb is an act of modelling ecological realisation rather than simple network reduction. Acknowledging the assumptions embedded within these downsampling filters is essential for accurately inferring community robustness in both ancient and modern ecosystems.</w:t>
      </w:r>
    </w:p>
    <w:bookmarkEnd w:id="51"/>
    <w:bookmarkEnd w:id="52"/>
    <w:bookmarkStart w:id="80" w:name="references"/>
    <w:p>
      <w:pPr>
        <w:pStyle w:val="Heading1"/>
      </w:pPr>
      <w:r>
        <w:t xml:space="preserve">References</w:t>
      </w:r>
    </w:p>
    <w:bookmarkStart w:id="79" w:name="refs"/>
    <w:bookmarkStart w:id="54"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53">
        <w:r>
          <w:rPr>
            <w:rStyle w:val="Hyperlink"/>
          </w:rPr>
          <w:t xml:space="preserve">https://doi.org/10.1137/141000671</w:t>
        </w:r>
      </w:hyperlink>
    </w:p>
    <w:bookmarkEnd w:id="54"/>
    <w:bookmarkStart w:id="56"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55">
        <w:r>
          <w:rPr>
            <w:rStyle w:val="Hyperlink"/>
          </w:rPr>
          <w:t xml:space="preserve">https://doi.org/10.1890/0012-9658(2006)87[2411:CBRINF]2.0.CO;2</w:t>
        </w:r>
      </w:hyperlink>
    </w:p>
    <w:bookmarkEnd w:id="56"/>
    <w:bookmarkStart w:id="58"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7">
        <w:r>
          <w:rPr>
            <w:rStyle w:val="Hyperlink"/>
          </w:rPr>
          <w:t xml:space="preserve">https://doi.org/10.1016/j.baae.2011.09.008</w:t>
        </w:r>
      </w:hyperlink>
    </w:p>
    <w:bookmarkEnd w:id="58"/>
    <w:bookmarkStart w:id="60"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9">
        <w:r>
          <w:rPr>
            <w:rStyle w:val="Hyperlink"/>
          </w:rPr>
          <w:t xml:space="preserve">https://doi.org/10.1111/2041-210X.12713</w:t>
        </w:r>
      </w:hyperlink>
    </w:p>
    <w:bookmarkEnd w:id="60"/>
    <w:bookmarkStart w:id="62"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61">
        <w:r>
          <w:rPr>
            <w:rStyle w:val="Hyperlink"/>
          </w:rPr>
          <w:t xml:space="preserve">https://doi.org/10.1111/oik.01588</w:t>
        </w:r>
      </w:hyperlink>
    </w:p>
    <w:bookmarkEnd w:id="62"/>
    <w:bookmarkStart w:id="64"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63">
        <w:r>
          <w:rPr>
            <w:rStyle w:val="Hyperlink"/>
          </w:rPr>
          <w:t xml:space="preserve">https://doi.org/10.64898/2026.02.24.707709</w:t>
        </w:r>
      </w:hyperlink>
      <w:r>
        <w:t xml:space="preserve"> </w:t>
      </w:r>
      <w:r>
        <w:t xml:space="preserve">(Pre-published)</w:t>
      </w:r>
    </w:p>
    <w:bookmarkEnd w:id="64"/>
    <w:bookmarkStart w:id="66"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5">
        <w:r>
          <w:rPr>
            <w:rStyle w:val="Hyperlink"/>
          </w:rPr>
          <w:t xml:space="preserve">https://doi.org/10.1111/2041-210X.14497</w:t>
        </w:r>
      </w:hyperlink>
    </w:p>
    <w:bookmarkEnd w:id="66"/>
    <w:bookmarkStart w:id="68"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7">
        <w:r>
          <w:rPr>
            <w:rStyle w:val="Hyperlink"/>
          </w:rPr>
          <w:t xml:space="preserve">https://www.jstor.org/stable/4096814</w:t>
        </w:r>
      </w:hyperlink>
    </w:p>
    <w:bookmarkEnd w:id="68"/>
    <w:bookmarkStart w:id="70"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9">
        <w:r>
          <w:rPr>
            <w:rStyle w:val="Hyperlink"/>
          </w:rPr>
          <w:t xml:space="preserve">https://doi.org/10.1101/2024.01.30.578036</w:t>
        </w:r>
      </w:hyperlink>
      <w:r>
        <w:t xml:space="preserve"> </w:t>
      </w:r>
      <w:r>
        <w:t xml:space="preserve">(Pre-published)</w:t>
      </w:r>
    </w:p>
    <w:bookmarkEnd w:id="70"/>
    <w:bookmarkStart w:id="72"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71">
        <w:r>
          <w:rPr>
            <w:rStyle w:val="Hyperlink"/>
          </w:rPr>
          <w:t xml:space="preserve">https://doi.org/10.1111/2041-210X.13835</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7">
        <w:r>
          <w:rPr>
            <w:rStyle w:val="Hyperlink"/>
          </w:rPr>
          <w:t xml:space="preserve">https://doi.org/10.1038/35004572</w:t>
        </w:r>
      </w:hyperlink>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hyperlink" Id="rId57" Target="https://doi.org/10.1016/j.baae.2011.09.008" TargetMode="External" /><Relationship Type="http://schemas.openxmlformats.org/officeDocument/2006/relationships/hyperlink" Id="rId77" Target="https://doi.org/10.1038/35004572" TargetMode="External" /><Relationship Type="http://schemas.openxmlformats.org/officeDocument/2006/relationships/hyperlink" Id="rId69" Target="https://doi.org/10.1101/2024.01.30.578036" TargetMode="External" /><Relationship Type="http://schemas.openxmlformats.org/officeDocument/2006/relationships/hyperlink" Id="rId59" Target="https://doi.org/10.1111/2041-210X.12713" TargetMode="External" /><Relationship Type="http://schemas.openxmlformats.org/officeDocument/2006/relationships/hyperlink" Id="rId71" Target="https://doi.org/10.1111/2041-210X.13835" TargetMode="External" /><Relationship Type="http://schemas.openxmlformats.org/officeDocument/2006/relationships/hyperlink" Id="rId65" Target="https://doi.org/10.1111/2041-210X.14497" TargetMode="External" /><Relationship Type="http://schemas.openxmlformats.org/officeDocument/2006/relationships/hyperlink" Id="rId61" Target="https://doi.org/10.1111/oik.01588" TargetMode="External" /><Relationship Type="http://schemas.openxmlformats.org/officeDocument/2006/relationships/hyperlink" Id="rId53" Target="https://doi.org/10.1137/141000671" TargetMode="External" /><Relationship Type="http://schemas.openxmlformats.org/officeDocument/2006/relationships/hyperlink" Id="rId55" Target="https://doi.org/10.1890/0012-9658(2006)87[2411:CBRINF]2.0.CO;2" TargetMode="External" /><Relationship Type="http://schemas.openxmlformats.org/officeDocument/2006/relationships/hyperlink" Id="rId63" Target="https://doi.org/10.64898/2026.02.24.707709"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7"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16/j.baae.2011.09.008" TargetMode="External" /><Relationship Type="http://schemas.openxmlformats.org/officeDocument/2006/relationships/hyperlink" Id="rId77" Target="https://doi.org/10.1038/35004572" TargetMode="External" /><Relationship Type="http://schemas.openxmlformats.org/officeDocument/2006/relationships/hyperlink" Id="rId69" Target="https://doi.org/10.1101/2024.01.30.578036" TargetMode="External" /><Relationship Type="http://schemas.openxmlformats.org/officeDocument/2006/relationships/hyperlink" Id="rId59" Target="https://doi.org/10.1111/2041-210X.12713" TargetMode="External" /><Relationship Type="http://schemas.openxmlformats.org/officeDocument/2006/relationships/hyperlink" Id="rId71" Target="https://doi.org/10.1111/2041-210X.13835" TargetMode="External" /><Relationship Type="http://schemas.openxmlformats.org/officeDocument/2006/relationships/hyperlink" Id="rId65" Target="https://doi.org/10.1111/2041-210X.14497" TargetMode="External" /><Relationship Type="http://schemas.openxmlformats.org/officeDocument/2006/relationships/hyperlink" Id="rId61" Target="https://doi.org/10.1111/oik.01588" TargetMode="External" /><Relationship Type="http://schemas.openxmlformats.org/officeDocument/2006/relationships/hyperlink" Id="rId53" Target="https://doi.org/10.1137/141000671" TargetMode="External" /><Relationship Type="http://schemas.openxmlformats.org/officeDocument/2006/relationships/hyperlink" Id="rId55" Target="https://doi.org/10.1890/0012-9658(2006)87[2411:CBRINF]2.0.CO;2" TargetMode="External" /><Relationship Type="http://schemas.openxmlformats.org/officeDocument/2006/relationships/hyperlink" Id="rId63" Target="https://doi.org/10.64898/2026.02.24.707709"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7"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2026-08-06T12:33:01Z</dcterms:created>
  <dcterms:modified xsi:type="dcterms:W3CDTF">2026-08-06T12:33:01Z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2026-08-06</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