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2026-10-14</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a powerful framework for understanding how biodiversity is organised and how ecological communities respond to environmental change. Early food web research focused largely on describing structural properties such as connectance, trophic organisation, and degree distributions, revealing recurring patterns across ecosystems</w:t>
      </w:r>
      <w:r>
        <w:t xml:space="preserve"> </w:t>
      </w:r>
      <w:r>
        <w:t xml:space="preserve">(Williams &amp; Martinez, 2000)</w:t>
      </w:r>
      <w:r>
        <w:t xml:space="preserve">. Increasingly, however, attention has shifted from describing network architecture to predicting ecological processes. Mechanistic dynamic food web models enable researchers to investigate community stability, biomass dynamics, extinction cascades, and responses to perturbation by explicitly simulating energy transfer among interacting species</w:t>
      </w:r>
      <w:r>
        <w:t xml:space="preserve"> </w:t>
      </w:r>
      <w:r>
        <w:t xml:space="preserve">(Brose et al., 2006; Curtsdotter et al., 2011; Delmas et al., 2017; Yodzis &amp; Innes, 1992)</w:t>
      </w:r>
      <w:r>
        <w:t xml:space="preserve">. By incorporating processes such as resource limitation, interaction strengths, and feedbacks, these models provide a means of linking network structure to ecological dynamics. Their predictions, however, depend not only on the dynamical model itself, but also on the food web supplied as input.</w:t>
      </w:r>
    </w:p>
    <w:p>
      <w:pPr>
        <w:pStyle w:val="BodyText"/>
      </w:pPr>
      <w:r>
        <w:t xml:space="preserve">Constructing suitable networks for dynamic modelling presents a fundamental challenge. Synthetic food web models, such as the niche model, provide tractable representations of trophic structure and can be readily coupled to population dynamics</w:t>
      </w:r>
      <w:r>
        <w:t xml:space="preserve"> </w:t>
      </w:r>
      <w:r>
        <w:t xml:space="preserve">(Williams &amp; Martinez, 2000)</w:t>
      </w:r>
      <w:r>
        <w:t xml:space="preserve">. Other approaches use biological information, including body size and energetic constraints, to generate more mechanistically informed networks, as in allometric trophic network models</w:t>
      </w:r>
      <w:r>
        <w:t xml:space="preserve"> </w:t>
      </w:r>
      <w:r>
        <w:t xml:space="preserve">(Brose et al., 2006; Petchey et al., 2008)</w:t>
      </w:r>
      <w:r>
        <w:t xml:space="preserve">. However, these approaches represent particular assumptions about how trophic interactions are organised and do not necessarily recover the specific interactions occurring within a given community. Empirical metawebs offer an alternative by compiling potential trophic interactions among species from observations, literature, or trait-based inference</w:t>
      </w:r>
      <w:r>
        <w:t xml:space="preserve"> </w:t>
      </w:r>
      <w:r>
        <w:t xml:space="preserve">(Dunne, 2006)</w:t>
      </w:r>
      <w:r>
        <w:t xml:space="preserve">. Yet, because these interactions may have been observed or inferred across different locations, seasons, or environmental conditions, a metaweb does not necessarily represent a set of interactions that can occur simultaneously within a single community. Converting an empirical metaweb into a plausible community-level food web therefore requires an additional step: selecting which potential interactions are realised together.</w:t>
      </w:r>
    </w:p>
    <w:p>
      <w:pPr>
        <w:pStyle w:val="BodyText"/>
      </w:pPr>
      <w:r>
        <w:t xml:space="preserve">This process of network realisation introduces assumptions about the ecological processes that determine which interactions persist within a community. Different approaches may favour interactions involving particular species, retain central portions of consumers’ potential trophic niches, or select links without reference to their ecological characteristics. These alternatives can produce networks with different structural properties even when they originate from the same empirical interaction pool. Consequently, network reconstruction is not simply a technical step for reducing network size or connectance; it is an ecological modelling decision that may influence subsequent predictions. Although food web reconstruction and the reuse of interaction networks can substantially affect ecological inference</w:t>
      </w:r>
      <w:r>
        <w:t xml:space="preserve"> </w:t>
      </w:r>
      <w:r>
        <w:t xml:space="preserve">(Brimacombe et al., 2023)</w:t>
      </w:r>
      <w:r>
        <w:t xml:space="preserve">, the extent to which assumptions introduced during network realisation propagate through dynamic modelling remains an important question.</w:t>
      </w:r>
    </w:p>
    <w:p>
      <w:pPr>
        <w:pStyle w:val="BodyText"/>
      </w:pPr>
      <w:r>
        <w:t xml:space="preserve">Network construction is also followed by a second filtering process. Dynamic food web models typically undergo a burn-in period during which biomass changes and species that cannot persist under the specified model conditions are lost. This process transforms the initial network into a dynamically viable community, potentially altering its structure before any perturbation is imposed. The resulting network therefore reflects two successive sets of assumptions: first, those determining which potential interactions are included, and second, those determining which species and interactions persist under the modelled dynamics. These stages may have distinct or interacting effects on network topology and ecological behaviour. In particular, it remains unclear whether structural signatures introduced during network construction persist following dynamical burn-in, and whether differences among reconstructed networks translate into differences in extinction responses. This distinction matters because topological extinction analyses assess consequences of network structure alone, whereas dynamic extinction simulations additionally incorporate biomass-dependent ecological processes</w:t>
      </w:r>
      <w:r>
        <w:t xml:space="preserve"> </w:t>
      </w:r>
      <w:r>
        <w:t xml:space="preserve">(Curtsdotter et al., 2011)</w:t>
      </w:r>
      <w:r>
        <w:t xml:space="preserve">.</w:t>
      </w:r>
    </w:p>
    <w:p>
      <w:pPr>
        <w:pStyle w:val="BodyText"/>
      </w:pPr>
      <w:r>
        <w:t xml:space="preserve">Resolving these uncertainties is particularly relevant when dynamic models are used to investigate ecological change in systems for which empirical interaction data are incomplete. Palaeoecological records, for example, offer opportunities to examine community responses to major extinction events, but reconstructed fossil assemblages rarely provide a complete representation of a single realised food web</w:t>
      </w:r>
      <w:r>
        <w:t xml:space="preserve"> </w:t>
      </w:r>
      <w:r>
        <w:t xml:space="preserve">(Dunhill et al., 2024; Fricke et al., 2022; Karapunar et al., 2026; Roopnarine, 2017; Roopnarine, 2006)</w:t>
      </w:r>
      <w:r>
        <w:t xml:space="preserve">. Instead, they may be more appropriately represented as empirically constrained pools of potential interactions from which plausible community networks must be inferred. Developing approaches that translate these interaction pools into dynamically viable food webs could therefore support mechanistic investigations of ecological change through comparisons across extinction events and hindcasting exercises</w:t>
      </w:r>
      <w:r>
        <w:t xml:space="preserve"> </w:t>
      </w:r>
      <w:r>
        <w:t xml:space="preserve">(Strydom, Catchen, et al., 2021)</w:t>
      </w:r>
      <w:r>
        <w:t xml:space="preserve">. However, such applications require an understanding of how the assumptions used to reconstruct networks influence the structure and dynamics of the resulting communities.</w:t>
      </w:r>
    </w:p>
    <w:p>
      <w:pPr>
        <w:pStyle w:val="BodyText"/>
      </w:pPr>
      <w:r>
        <w:t xml:space="preserve">Here, we investigate how alternative approaches to network realisation influence food web structure, dynamical burn-in, and inferred extinction robustness. Using empirical metawebs, we generate realised food webs with four ecologically motivated downsampling approaches and compare them with networks generated using the niche and allometric trophic network models. We ask three questions: (1) how does the choice of network construction approach influence initial food web topology, and how do these differences change during dynamical burn-in? (2) To what extent do alternative reconstruction approaches influence the relationship between topological and dynamic estimates of extinction robustness? And (3) do network reconstruction approaches that differ structurally also produce distinct dynamical responses to extinction, or do these responses converge during subsequent simulations? Rather than identifying a single optimal reconstruction method, we use these comparisons to evaluate whether assumptions introduced during network construction remain detectable throughout dynamic modelling. We argue that network realisation should be treated as an explicit source of ecological model uncertainty when empirical interaction data are used to generate mechanistic predictions about ecological change.</w:t>
      </w:r>
    </w:p>
    <w:bookmarkEnd w:id="9"/>
    <w:bookmarkStart w:id="21"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 For the ATN networks we generated a range of networks by varying they probability parameter and selected the network that best matched the target connectance.</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9" w:name="simulations"/>
    <w:p>
      <w:pPr>
        <w:pStyle w:val="Heading2"/>
      </w:pPr>
      <w:r>
        <w:t xml:space="preserve">2.4 Simulations</w:t>
      </w:r>
    </w:p>
    <w:bookmarkStart w:id="17" w:name="network-construction-1"/>
    <w:p>
      <w:pPr>
        <w:pStyle w:val="Heading3"/>
      </w:pPr>
      <w:r>
        <w:t xml:space="preserve">2.4.1 Network construction</w:t>
      </w:r>
    </w:p>
    <w:p>
      <w:pPr>
        <w:pStyle w:val="FirstParagraph"/>
      </w:pPr>
      <w:r>
        <w:t xml:space="preserve">For each empirical community, we generated 30 network replicates.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w:t>
      </w:r>
    </w:p>
    <w:p>
      <w:pPr>
        <w:pStyle w:val="BodyText"/>
      </w:pPr>
      <w:r>
        <w:t xml:space="preserve">For the ATN, interaction probabilities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bookmarkEnd w:id="17"/>
    <w:bookmarkStart w:id="18" w:name="extinction-simulations"/>
    <w:p>
      <w:pPr>
        <w:pStyle w:val="Heading3"/>
      </w:pPr>
      <w:r>
        <w:t xml:space="preserve">2.4.2 Extinction simulations</w:t>
      </w:r>
    </w:p>
    <w:p>
      <w:pPr>
        <w:pStyle w:val="FirstParagraph"/>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8"/>
    <w:bookmarkEnd w:id="19"/>
    <w:bookmarkStart w:id="20"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20"/>
    <w:bookmarkEnd w:id="21"/>
    <w:bookmarkStart w:id="26"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5" w:name="fig-downsample"/>
          <w:p>
            <w:pPr>
              <w:pStyle w:val="Compact"/>
              <w:jc w:val="center"/>
            </w:pPr>
            <w:r>
              <w:drawing>
                <wp:inline>
                  <wp:extent cx="5334000" cy="8297333"/>
                  <wp:effectExtent b="0" l="0" r="0" t="0"/>
                  <wp:docPr descr="" title="" id="23" name="Picture"/>
                  <a:graphic>
                    <a:graphicData uri="http://schemas.openxmlformats.org/drawingml/2006/picture">
                      <pic:pic>
                        <pic:nvPicPr>
                          <pic:cNvPr descr="figures/downsamplingEffect.png" id="24" name="Picture"/>
                          <pic:cNvPicPr>
                            <a:picLocks noChangeArrowheads="1" noChangeAspect="1"/>
                          </pic:cNvPicPr>
                        </pic:nvPicPr>
                        <pic:blipFill>
                          <a:blip r:embed="rId22"/>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5"/>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et al., 2026)</w:t>
      </w:r>
      <w:r>
        <w:t xml:space="preserve">.</w:t>
      </w:r>
    </w:p>
    <w:bookmarkEnd w:id="26"/>
    <w:bookmarkStart w:id="31"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30" w:name="fig-TopoVDynamic"/>
          <w:p>
            <w:pPr>
              <w:pStyle w:val="Compact"/>
              <w:jc w:val="center"/>
            </w:pPr>
            <w:r>
              <w:drawing>
                <wp:inline>
                  <wp:extent cx="5334000" cy="3200400"/>
                  <wp:effectExtent b="0" l="0" r="0" t="0"/>
                  <wp:docPr descr="" title="" id="28" name="Picture"/>
                  <a:graphic>
                    <a:graphicData uri="http://schemas.openxmlformats.org/drawingml/2006/picture">
                      <pic:pic>
                        <pic:nvPicPr>
                          <pic:cNvPr descr="figures/robustnessTopoVDynamic.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30"/>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31"/>
    <w:bookmarkStart w:id="36"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5" w:name="fig-robDynamic"/>
          <w:p>
            <w:pPr>
              <w:pStyle w:val="Compact"/>
              <w:jc w:val="center"/>
            </w:pPr>
            <w:r>
              <w:drawing>
                <wp:inline>
                  <wp:extent cx="5334000" cy="6400800"/>
                  <wp:effectExtent b="0" l="0" r="0" t="0"/>
                  <wp:docPr descr="" title="" id="33" name="Picture"/>
                  <a:graphic>
                    <a:graphicData uri="http://schemas.openxmlformats.org/drawingml/2006/picture">
                      <pic:pic>
                        <pic:nvPicPr>
                          <pic:cNvPr descr="figures/robustnessClusters.png" id="34" name="Picture"/>
                          <pic:cNvPicPr>
                            <a:picLocks noChangeArrowheads="1" noChangeAspect="1"/>
                          </pic:cNvPicPr>
                        </pic:nvPicPr>
                        <pic:blipFill>
                          <a:blip r:embed="rId32"/>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5"/>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6"/>
    <w:bookmarkStart w:id="37"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 web models are to provide increasingly empirical predictions of how ecological communities respond to environmental change.</w:t>
      </w:r>
    </w:p>
    <w:bookmarkEnd w:id="37"/>
    <w:bookmarkStart w:id="83" w:name="references"/>
    <w:p>
      <w:pPr>
        <w:pStyle w:val="Heading1"/>
      </w:pPr>
      <w:r>
        <w:t xml:space="preserve">References</w:t>
      </w:r>
    </w:p>
    <w:bookmarkStart w:id="82" w:name="refs"/>
    <w:bookmarkStart w:id="39"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8">
        <w:r>
          <w:rPr>
            <w:rStyle w:val="Hyperlink"/>
          </w:rPr>
          <w:t xml:space="preserve">https://doi.org/10.1137/141000671</w:t>
        </w:r>
      </w:hyperlink>
    </w:p>
    <w:bookmarkEnd w:id="39"/>
    <w:bookmarkStart w:id="41"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40">
        <w:r>
          <w:rPr>
            <w:rStyle w:val="Hyperlink"/>
          </w:rPr>
          <w:t xml:space="preserve">https://doi.org/10.1371/journal.pbio.3002068</w:t>
        </w:r>
      </w:hyperlink>
    </w:p>
    <w:bookmarkEnd w:id="41"/>
    <w:bookmarkStart w:id="43"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2">
        <w:r>
          <w:rPr>
            <w:rStyle w:val="Hyperlink"/>
          </w:rPr>
          <w:t xml:space="preserve">https://doi.org/10.1890/0012-9658(2006)87[2411:CBRINF]2.0.CO;2</w:t>
        </w:r>
      </w:hyperlink>
    </w:p>
    <w:bookmarkEnd w:id="43"/>
    <w:bookmarkStart w:id="4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4">
        <w:r>
          <w:rPr>
            <w:rStyle w:val="Hyperlink"/>
          </w:rPr>
          <w:t xml:space="preserve">https://doi.org/10.1016/j.baae.2011.09.008</w:t>
        </w:r>
      </w:hyperlink>
    </w:p>
    <w:bookmarkEnd w:id="45"/>
    <w:bookmarkStart w:id="4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6">
        <w:r>
          <w:rPr>
            <w:rStyle w:val="Hyperlink"/>
          </w:rPr>
          <w:t xml:space="preserve">https://doi.org/10.1111/2041-210X.12713</w:t>
        </w:r>
      </w:hyperlink>
    </w:p>
    <w:bookmarkEnd w:id="47"/>
    <w:bookmarkStart w:id="49"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8">
        <w:r>
          <w:rPr>
            <w:rStyle w:val="Hyperlink"/>
          </w:rPr>
          <w:t xml:space="preserve">https://doi.org/10.1038/s41467-024-53000-2</w:t>
        </w:r>
      </w:hyperlink>
    </w:p>
    <w:bookmarkEnd w:id="49"/>
    <w:bookmarkStart w:id="50"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50"/>
    <w:bookmarkStart w:id="52"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1">
        <w:r>
          <w:rPr>
            <w:rStyle w:val="Hyperlink"/>
          </w:rPr>
          <w:t xml:space="preserve">https://doi.org/10.1126/science.abn4012</w:t>
        </w:r>
      </w:hyperlink>
    </w:p>
    <w:bookmarkEnd w:id="52"/>
    <w:bookmarkStart w:id="54"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3">
        <w:r>
          <w:rPr>
            <w:rStyle w:val="Hyperlink"/>
          </w:rPr>
          <w:t xml:space="preserve">https://doi.org/10.1111/oik.01588</w:t>
        </w:r>
      </w:hyperlink>
    </w:p>
    <w:bookmarkEnd w:id="54"/>
    <w:bookmarkStart w:id="56"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5">
        <w:r>
          <w:rPr>
            <w:rStyle w:val="Hyperlink"/>
          </w:rPr>
          <w:t xml:space="preserve">https://doi.org/10.64898/2026.02.24.707709</w:t>
        </w:r>
      </w:hyperlink>
      <w:r>
        <w:t xml:space="preserve"> </w:t>
      </w:r>
      <w:r>
        <w:t xml:space="preserve">(Pre-published)</w:t>
      </w:r>
    </w:p>
    <w:bookmarkEnd w:id="56"/>
    <w:bookmarkStart w:id="58"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7">
        <w:r>
          <w:rPr>
            <w:rStyle w:val="Hyperlink"/>
          </w:rPr>
          <w:t xml:space="preserve">https://doi.org/10.1111/2041-210X.14497</w:t>
        </w:r>
      </w:hyperlink>
    </w:p>
    <w:bookmarkEnd w:id="58"/>
    <w:bookmarkStart w:id="60"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9">
        <w:r>
          <w:rPr>
            <w:rStyle w:val="Hyperlink"/>
          </w:rPr>
          <w:t xml:space="preserve">https://doi.org/10.1086/587068</w:t>
        </w:r>
      </w:hyperlink>
    </w:p>
    <w:bookmarkEnd w:id="60"/>
    <w:bookmarkStart w:id="62"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1">
        <w:r>
          <w:rPr>
            <w:rStyle w:val="Hyperlink"/>
          </w:rPr>
          <w:t xml:space="preserve">https://doi.org/10.7717/peerj.251</w:t>
        </w:r>
      </w:hyperlink>
    </w:p>
    <w:bookmarkEnd w:id="62"/>
    <w:bookmarkStart w:id="63"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3"/>
    <w:bookmarkStart w:id="65"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4">
        <w:r>
          <w:rPr>
            <w:rStyle w:val="Hyperlink"/>
          </w:rPr>
          <w:t xml:space="preserve">https://www.jstor.org/stable/4096814</w:t>
        </w:r>
      </w:hyperlink>
    </w:p>
    <w:bookmarkEnd w:id="65"/>
    <w:bookmarkStart w:id="6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6">
        <w:r>
          <w:rPr>
            <w:rStyle w:val="Hyperlink"/>
          </w:rPr>
          <w:t xml:space="preserve">https://doi.org/10.1101/2024.01.30.578036</w:t>
        </w:r>
      </w:hyperlink>
      <w:r>
        <w:t xml:space="preserve"> </w:t>
      </w:r>
      <w:r>
        <w:t xml:space="preserve">(Pre-published)</w:t>
      </w:r>
    </w:p>
    <w:bookmarkEnd w:id="67"/>
    <w:bookmarkStart w:id="69"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8">
        <w:r>
          <w:rPr>
            <w:rStyle w:val="Hyperlink"/>
          </w:rPr>
          <w:t xml:space="preserve">https://doi.org/10.1111/2041-210X.13835</w:t>
        </w:r>
      </w:hyperlink>
    </w:p>
    <w:bookmarkEnd w:id="69"/>
    <w:bookmarkStart w:id="71"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70">
        <w:r>
          <w:rPr>
            <w:rStyle w:val="Hyperlink"/>
          </w:rPr>
          <w:t xml:space="preserve">https://doi.org/10.1098/rstb.2021.0063</w:t>
        </w:r>
      </w:hyperlink>
    </w:p>
    <w:bookmarkEnd w:id="71"/>
    <w:bookmarkStart w:id="73"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2">
        <w:r>
          <w:rPr>
            <w:rStyle w:val="Hyperlink"/>
          </w:rPr>
          <w:t xml:space="preserve">https://doi.org/10.3389/fevo.2021.623141</w:t>
        </w:r>
      </w:hyperlink>
    </w:p>
    <w:bookmarkEnd w:id="73"/>
    <w:bookmarkStart w:id="7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4">
        <w:r>
          <w:rPr>
            <w:rStyle w:val="Hyperlink"/>
          </w:rPr>
          <w:t xml:space="preserve">https://ecoevorxiv.org/repository/view/13495/</w:t>
        </w:r>
      </w:hyperlink>
    </w:p>
    <w:bookmarkEnd w:id="75"/>
    <w:bookmarkStart w:id="77"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6">
        <w:r>
          <w:rPr>
            <w:rStyle w:val="Hyperlink"/>
          </w:rPr>
          <w:t xml:space="preserve">https://doi.org/10.5194/gmd-11-4241-2018</w:t>
        </w:r>
      </w:hyperlink>
    </w:p>
    <w:bookmarkEnd w:id="77"/>
    <w:bookmarkStart w:id="79"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8">
        <w:r>
          <w:rPr>
            <w:rStyle w:val="Hyperlink"/>
          </w:rPr>
          <w:t xml:space="preserve">https://doi.org/10.1038/35004572</w:t>
        </w:r>
      </w:hyperlink>
    </w:p>
    <w:bookmarkEnd w:id="79"/>
    <w:bookmarkStart w:id="81"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0">
        <w:r>
          <w:rPr>
            <w:rStyle w:val="Hyperlink"/>
          </w:rPr>
          <w:t xml:space="preserve">https://doi.org/10.1086/285380</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44" Target="https://doi.org/10.1016/j.baae.2011.09.008" TargetMode="External" /><Relationship Type="http://schemas.openxmlformats.org/officeDocument/2006/relationships/hyperlink" Id="rId78"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80"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70" Target="https://doi.org/10.1098/rstb.2021.0063" TargetMode="External" /><Relationship Type="http://schemas.openxmlformats.org/officeDocument/2006/relationships/hyperlink" Id="rId6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8"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371/journal.pbio.3002068" TargetMode="External" /><Relationship Type="http://schemas.openxmlformats.org/officeDocument/2006/relationships/hyperlink" Id="rId42" Target="https://doi.org/10.1890/0012-9658(2006)87[2411:CBRINF]2.0.CO;2" TargetMode="External" /><Relationship Type="http://schemas.openxmlformats.org/officeDocument/2006/relationships/hyperlink" Id="rId72" Target="https://doi.org/10.3389/fevo.2021.623141" TargetMode="External" /><Relationship Type="http://schemas.openxmlformats.org/officeDocument/2006/relationships/hyperlink" Id="rId76" Target="https://doi.org/10.5194/gmd-11-4241-2018" TargetMode="External" /><Relationship Type="http://schemas.openxmlformats.org/officeDocument/2006/relationships/hyperlink" Id="rId55" Target="https://doi.org/10.64898/2026.02.24.707709" TargetMode="External" /><Relationship Type="http://schemas.openxmlformats.org/officeDocument/2006/relationships/hyperlink" Id="rId61" Target="https://doi.org/10.7717/peerj.251" TargetMode="External" /><Relationship Type="http://schemas.openxmlformats.org/officeDocument/2006/relationships/hyperlink" Id="rId74" Target="https://ecoevorxiv.org/repository/view/13495/" TargetMode="External" /><Relationship Type="http://schemas.openxmlformats.org/officeDocument/2006/relationships/hyperlink" Id="rId64"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j.baae.2011.09.008" TargetMode="External" /><Relationship Type="http://schemas.openxmlformats.org/officeDocument/2006/relationships/hyperlink" Id="rId78"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80"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70" Target="https://doi.org/10.1098/rstb.2021.0063" TargetMode="External" /><Relationship Type="http://schemas.openxmlformats.org/officeDocument/2006/relationships/hyperlink" Id="rId66"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8"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371/journal.pbio.3002068" TargetMode="External" /><Relationship Type="http://schemas.openxmlformats.org/officeDocument/2006/relationships/hyperlink" Id="rId42" Target="https://doi.org/10.1890/0012-9658(2006)87[2411:CBRINF]2.0.CO;2" TargetMode="External" /><Relationship Type="http://schemas.openxmlformats.org/officeDocument/2006/relationships/hyperlink" Id="rId72" Target="https://doi.org/10.3389/fevo.2021.623141" TargetMode="External" /><Relationship Type="http://schemas.openxmlformats.org/officeDocument/2006/relationships/hyperlink" Id="rId76" Target="https://doi.org/10.5194/gmd-11-4241-2018" TargetMode="External" /><Relationship Type="http://schemas.openxmlformats.org/officeDocument/2006/relationships/hyperlink" Id="rId55" Target="https://doi.org/10.64898/2026.02.24.707709" TargetMode="External" /><Relationship Type="http://schemas.openxmlformats.org/officeDocument/2006/relationships/hyperlink" Id="rId61" Target="https://doi.org/10.7717/peerj.251" TargetMode="External" /><Relationship Type="http://schemas.openxmlformats.org/officeDocument/2006/relationships/hyperlink" Id="rId74" Target="https://ecoevorxiv.org/repository/view/13495/" TargetMode="External" /><Relationship Type="http://schemas.openxmlformats.org/officeDocument/2006/relationships/hyperlink" Id="rId64"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2026-10-14T16:48:39Z</dcterms:created>
  <dcterms:modified xsi:type="dcterms:W3CDTF">2026-10-14T16:48:39Z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2026-10-14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