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Downsampling</w:t>
      </w:r>
    </w:p>
    <w:p>
      <w:pPr>
        <w:pStyle w:val="Date"/>
      </w:pPr>
      <w:r>
        <w:t xml:space="preserve">2026-08-06</w:t>
      </w:r>
    </w:p>
    <w:p>
      <w:pPr>
        <w:pStyle w:val="AbstractTitle"/>
      </w:pPr>
      <w:r>
        <w:t xml:space="preserve">Abstract</w:t>
      </w:r>
    </w:p>
    <w:p>
      <w:pPr>
        <w:pStyle w:val="Abstract"/>
      </w:pPr>
      <w:r>
        <w:t xml:space="preserve">TODO</w:t>
      </w:r>
    </w:p>
    <w:bookmarkStart w:id="9" w:name="introduction"/>
    <w:p>
      <w:pPr>
        <w:pStyle w:val="Heading1"/>
      </w:pPr>
      <w:r>
        <w:t xml:space="preserve">1. Introduction</w:t>
      </w:r>
    </w:p>
    <w:p>
      <w:pPr>
        <w:pStyle w:val="FirstParagraph"/>
      </w:pPr>
      <w:r>
        <w:t xml:space="preserve">Extinction simulation in networks are useful because they can inform us as to the robustness [REF] or resilience [REF] of the system. Understanding community level extinctions is of particular interest for understanding community collapse and mass extinction events [REFs]. However the nature of the fossil record means that we are only able to do topological extinctions [REFs]</w:t>
      </w:r>
    </w:p>
    <w:p>
      <w:pPr>
        <w:pStyle w:val="BodyText"/>
      </w:pPr>
      <w:r>
        <w:t xml:space="preserve">Dynamic extinctions</w:t>
      </w:r>
      <w:r>
        <w:t xml:space="preserve"> </w:t>
      </w:r>
      <w:r>
        <w:t xml:space="preserve">(</w:t>
      </w:r>
      <w:r>
        <w:rPr>
          <w:i/>
          <w:iCs/>
        </w:rPr>
        <w:t xml:space="preserve">e.g.,</w:t>
      </w:r>
      <w:r>
        <w:t xml:space="preserve"> </w:t>
      </w:r>
      <w:r>
        <w:t xml:space="preserve">Curtsdotter et al., 2011)</w:t>
      </w:r>
      <w:r>
        <w:t xml:space="preserve"> </w:t>
      </w:r>
      <w:r>
        <w:t xml:space="preserve">can be useful because they are (probably) a better approximation of reality - or at least not as</w:t>
      </w:r>
      <w:r>
        <w:t xml:space="preserve"> </w:t>
      </w:r>
      <w:r>
        <w:t xml:space="preserve">‘conservative’</w:t>
      </w:r>
      <w:r>
        <w:t xml:space="preserve">/best case scenario as what the topological extinctions are (insert a brief description of how these approaches are different). Something about how this is meaningful in paleo but also real-world settings. Maybe also point out that typically in dynamic context we are using species agnostic models</w:t>
      </w:r>
      <w:r>
        <w:t xml:space="preserve"> </w:t>
      </w:r>
      <w:r>
        <w:rPr>
          <w:i/>
          <w:iCs/>
        </w:rPr>
        <w:t xml:space="preserve">e.g.,</w:t>
      </w:r>
      <w:r>
        <w:t xml:space="preserve"> </w:t>
      </w:r>
      <w:r>
        <w:t xml:space="preserve">niche and atn which lack the real world tractability that we want.</w:t>
      </w:r>
    </w:p>
    <w:p>
      <w:pPr>
        <w:pStyle w:val="BodyText"/>
      </w:pPr>
      <w:r>
        <w:t xml:space="preserve">However in order to</w:t>
      </w:r>
      <w:r>
        <w:t xml:space="preserve"> </w:t>
      </w:r>
      <w:r>
        <w:rPr>
          <w:i/>
          <w:iCs/>
        </w:rPr>
        <w:t xml:space="preserve">correctly</w:t>
      </w:r>
      <w:r>
        <w:t xml:space="preserve"> </w:t>
      </w:r>
      <w:r>
        <w:t xml:space="preserve">match the philosophy of these dynamic networks we need a way in which to turn empirical metawebs into networks that are more representative of realised networks,</w:t>
      </w:r>
      <w:r>
        <w:t xml:space="preserve"> </w:t>
      </w:r>
      <w:r>
        <w:rPr>
          <w:i/>
          <w:iCs/>
        </w:rPr>
        <w:t xml:space="preserve">i.e.,</w:t>
      </w:r>
      <w:r>
        <w:t xml:space="preserve"> </w:t>
      </w:r>
      <w:r>
        <w:t xml:space="preserve">there is some form of link distribution constraint</w:t>
      </w:r>
      <w:r>
        <w:t xml:space="preserve"> </w:t>
      </w:r>
      <w:r>
        <w:t xml:space="preserve">(Strydom, Dunhill, et al., 2026)</w:t>
      </w:r>
      <w:r>
        <w:t xml:space="preserve">. Although there has been some work on downsampling of paleo webs</w:t>
      </w:r>
      <w:r>
        <w:t xml:space="preserve"> </w:t>
      </w:r>
      <w:r>
        <w:t xml:space="preserve">(Roopnarine, 2006)</w:t>
      </w:r>
      <w:r>
        <w:t xml:space="preserve"> </w:t>
      </w:r>
      <w:r>
        <w:t xml:space="preserve">we lack any ground truthing of what the implications are of embedding these ecological assumptions. Additionally this downsampling approach makes insidious assumptions as to what is driving the distribution of links in a network. Possibly also add a sentence here about how the other work has focused on the niche model</w:t>
      </w:r>
      <w:r>
        <w:t xml:space="preserve"> </w:t>
      </w:r>
      <w:r>
        <w:t xml:space="preserve">(Curtsdotter et al., 2011; Jonsson et al., 2015)</w:t>
      </w:r>
      <w:r>
        <w:t xml:space="preserve"> </w:t>
      </w:r>
      <w:r>
        <w:t xml:space="preserve">which itself has its own sets of ecological assumptions/embeddings.</w:t>
      </w:r>
    </w:p>
    <w:p>
      <w:pPr>
        <w:pStyle w:val="BodyText"/>
      </w:pPr>
      <w:r>
        <w:t xml:space="preserve">Here we present a selection of downsampling approach that are built on different assumptions as to link constraints. Using these downsampling approaches we recreate the</w:t>
      </w:r>
      <w:r>
        <w:t xml:space="preserve"> </w:t>
      </w:r>
      <w:r>
        <w:t xml:space="preserve">Curtsdotter et al. (2011)</w:t>
      </w:r>
      <w:r>
        <w:t xml:space="preserve"> </w:t>
      </w:r>
      <w:r>
        <w:t xml:space="preserve">approach and test if we see difference in topological and dynamic extinctions, as well as if the different input networks have different signals. We do this using the same dataset from</w:t>
      </w:r>
      <w:r>
        <w:t xml:space="preserve"> </w:t>
      </w:r>
      <w:r>
        <w:t xml:space="preserve">Karapunar et al. (2026)</w:t>
      </w:r>
      <w:r>
        <w:t xml:space="preserve">. If realised webs emerge through different ecological filters, do our conclusions about dynamic extinctions depend on which realisation process we assume?</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10"/>
    <w:bookmarkStart w:id="11"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11"/>
    <w:bookmarkStart w:id="16" w:name="downsampling-approaches"/>
    <w:p>
      <w:pPr>
        <w:pStyle w:val="Heading2"/>
      </w:pPr>
      <w:r>
        <w:t xml:space="preserve">2.3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r>
            <m:rPr>
              <m:sty m:val="p"/>
            </m:rPr>
            <m:t>.</m:t>
          </m:r>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r>
            <m:rPr>
              <m:sty m:val="p"/>
            </m:rPr>
            <m:t>,</m:t>
          </m:r>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r>
            <m:rPr>
              <m:sty m:val="p"/>
            </m:rPr>
            <m:t>,</m:t>
          </m:r>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r>
            <m:rPr>
              <m:sty m:val="p"/>
            </m:rPr>
            <m:t>,</m:t>
          </m:r>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r>
            <m:rPr>
              <m:sty m:val="p"/>
            </m:rPr>
            <m:t>.</m:t>
          </m:r>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r>
            <m:rPr>
              <m:sty m:val="p"/>
            </m:rPr>
            <m:t>,</m:t>
          </m:r>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model explained 31.8% of total topology variation (adjusted</w:t>
      </w:r>
      <w:r>
        <w:t xml:space="preserve"> </w:t>
      </w:r>
      <w:r>
        <w:rPr>
          <w:i/>
          <w:iCs/>
        </w:rPr>
        <w:t xml:space="preserve">R</w:t>
      </w:r>
      <w:r>
        <w:t xml:space="preserve">² =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as connectance declined.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5334000"/>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connectance gradient after accounting for community-level variation. (B) Estimated slopes (±95% confidence intervals) describing the relationship between the primary RDA axis and connectance change for each downsampling approach; letters denote post-hoc groupings from estimated marginal trend comparisons. (C) Principal component trajectories illustrating structural change between network creation and burn-in for each downsampling approach. (D) Mean Euclidean displacement through PCA space during burn-in (±95% confidence intervals); letters indicate pairwise differences among network types from estimated marginal means. Networks sharing the same letter are not significantly different.</w:t>
            </w:r>
          </w:p>
          <w:bookmarkEnd w:id="23"/>
        </w:tc>
      </w:tr>
    </w:tbl>
    <w:p>
      <w:pPr>
        <w:pStyle w:val="BodyText"/>
      </w:pPr>
      <w:r>
        <w:t xml:space="preserve">To identify the source of this interaction, the response of the primary RDA axis was examined across the connectance gradient. RDA1 was strongly associated with connectance change (</w:t>
      </w:r>
      <m:oMath>
        <m:sSub>
          <m:e>
            <m:r>
              <m:t>F</m:t>
            </m:r>
          </m:e>
          <m:sub>
            <m:r>
              <m:t>1</m:t>
            </m:r>
            <m:r>
              <m:rPr>
                <m:sty m:val="p"/>
              </m:rPr>
              <m:t>,</m:t>
            </m:r>
            <m:r>
              <m:t>712</m:t>
            </m:r>
          </m:sub>
        </m:sSub>
      </m:oMath>
      <w:r>
        <w:t xml:space="preserve"> </w:t>
      </w:r>
      <w:r>
        <w:t xml:space="preserve">= 2076.86,</w:t>
      </w:r>
      <w:r>
        <w:t xml:space="preserve"> </w:t>
      </w:r>
      <m:oMath>
        <m:r>
          <m:t>p</m:t>
        </m:r>
      </m:oMath>
      <w:r>
        <w:t xml:space="preserve"> </w:t>
      </w:r>
      <w:r>
        <w:t xml:space="preserve">&lt; 0.001), with additional effects of downsampling approach (</w:t>
      </w:r>
      <m:oMath>
        <m:sSub>
          <m:e>
            <m:r>
              <m:t>F</m:t>
            </m:r>
          </m:e>
          <m:sub>
            <m:r>
              <m:t>3</m:t>
            </m:r>
            <m:r>
              <m:rPr>
                <m:sty m:val="p"/>
              </m:rPr>
              <m:t>,</m:t>
            </m:r>
            <m:r>
              <m:t>712</m:t>
            </m:r>
          </m:sub>
        </m:sSub>
      </m:oMath>
      <w:r>
        <w:t xml:space="preserve"> </w:t>
      </w:r>
      <w:r>
        <w:t xml:space="preserve">= 33.28,</w:t>
      </w:r>
      <w:r>
        <w:t xml:space="preserve"> </w:t>
      </w:r>
      <m:oMath>
        <m:r>
          <m:t>p</m:t>
        </m:r>
      </m:oMath>
      <w:r>
        <w:t xml:space="preserve"> </w:t>
      </w:r>
      <w:r>
        <w:t xml:space="preserve">&lt; 0.001) and a significant downsampling approach</w:t>
      </w:r>
      <w:r>
        <w:t xml:space="preserve"> </w:t>
      </w:r>
      <m:oMath>
        <m:r>
          <m:rPr>
            <m:sty m:val="p"/>
          </m:rPr>
          <m:t>×</m:t>
        </m:r>
      </m:oMath>
      <w:r>
        <w:t xml:space="preserve"> </w:t>
      </w:r>
      <w:r>
        <w:t xml:space="preserve">connectance change interaction (</w:t>
      </w:r>
      <m:oMath>
        <m:sSub>
          <m:e>
            <m:r>
              <m:t>F</m:t>
            </m:r>
          </m:e>
          <m:sub>
            <m:r>
              <m:t>3</m:t>
            </m:r>
            <m:r>
              <m:rPr>
                <m:sty m:val="p"/>
              </m:rPr>
              <m:t>,</m:t>
            </m:r>
            <m:r>
              <m:t>712</m:t>
            </m:r>
          </m:sub>
        </m:sSub>
      </m:oMath>
      <w:r>
        <w:t xml:space="preserve"> </w:t>
      </w:r>
      <w:r>
        <w:t xml:space="preserve">= 4.81,</w:t>
      </w:r>
      <w:r>
        <w:t xml:space="preserve"> </w:t>
      </w:r>
      <m:oMath>
        <m:r>
          <m:t>p</m:t>
        </m:r>
      </m:oMath>
      <w:r>
        <w:t xml:space="preserve"> </w:t>
      </w:r>
      <w:r>
        <w:t xml:space="preserve">= 0.003). Pairwise comparisons of estimated trajectory slopes showed that link-based downsampling followed a distinct trajectory, differing from niche-, power-, and random-based downsampling, whereas the latter three approaches exhibited statistically indistinguishable responses (</w:t>
      </w:r>
      <w:hyperlink w:anchor="fig-downsample">
        <w:r>
          <w:rPr>
            <w:rStyle w:val="Hyperlink"/>
          </w:rPr>
          <w:t xml:space="preserve">Figure 1</w:t>
        </w:r>
      </w:hyperlink>
      <w:r>
        <w:t xml:space="preserve">, panel B). These results indicate that all downsampling methods alter network topology as connectance declines, but that removing interactions according to their realised connectivity produces a fundamentally different pathway of structural change from approaches that incorporate species-level ecological information or random link loss.</w:t>
      </w:r>
    </w:p>
    <w:p>
      <w:pPr>
        <w:pStyle w:val="BodyText"/>
      </w:pPr>
      <w:r>
        <w:t xml:space="preserve">We next asked whether these structurally distinct networks responded differently during dynamic burn-in.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niche-, power-, and link-based approaches underwent comparable structural change during burn-in, while random downsampling showed a modestly greater displacement (</w:t>
      </w:r>
      <w:hyperlink w:anchor="fig-downsample">
        <w:r>
          <w:rPr>
            <w:rStyle w:val="Hyperlink"/>
          </w:rPr>
          <w:t xml:space="preserve">Figure 1</w:t>
        </w:r>
      </w:hyperlink>
      <w:r>
        <w:t xml:space="preserve">, panels C–D).</w:t>
      </w:r>
    </w:p>
    <w:p>
      <w:pPr>
        <w:pStyle w:val="BodyText"/>
      </w:pPr>
      <w:r>
        <w:t xml:space="preserve">Together, these analyses demonstrate that downsampling approach influences network topology both during network construction and subsequent dynamic relaxation. Differences among downsampling methods become increasingly pronounced as greater proportions of interactions are removed, consistent with the expectation that the ecological assumptions underlying each removal strategy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In contrast, random downsampling remained distinct throughout burn-in, consistent with its lack of an underlying ecological mechanism governing interaction removal. This suggests that the ecologically informed downsampling on metawebs allows us to produce networks whose subsequent structural dynamics more closely resemble those of the niche model.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p>
    <w:bookmarkEnd w:id="24"/>
    <w:bookmarkStart w:id="29"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in all four extinction scenarios (low-to-high biomass:</w:t>
      </w:r>
      <w:r>
        <w:t xml:space="preserve"> </w:t>
      </w:r>
      <m:oMath>
        <m:sSub>
          <m:e>
            <m:r>
              <m:t>F</m:t>
            </m:r>
          </m:e>
          <m:sub>
            <m:r>
              <m:t>6</m:t>
            </m:r>
            <m:r>
              <m:rPr>
                <m:sty m:val="p"/>
              </m:rPr>
              <m:t>,</m:t>
            </m:r>
            <m:r>
              <m:t>1248</m:t>
            </m:r>
          </m:sub>
        </m:sSub>
      </m:oMath>
      <w:r>
        <w:t xml:space="preserve"> </w:t>
      </w:r>
      <w:r>
        <w:t xml:space="preserve">= 22.3,</w:t>
      </w:r>
      <w:r>
        <w:t xml:space="preserve"> </w:t>
      </w:r>
      <m:oMath>
        <m:r>
          <m:t>p</m:t>
        </m:r>
      </m:oMath>
      <w:r>
        <w:t xml:space="preserve">&lt;0.001; high-to-low biomass:</w:t>
      </w:r>
      <w:r>
        <w:t xml:space="preserve"> </w:t>
      </w:r>
      <m:oMath>
        <m:sSub>
          <m:e>
            <m:r>
              <m:t>F</m:t>
            </m:r>
          </m:e>
          <m:sub>
            <m:r>
              <m:t>6</m:t>
            </m:r>
            <m:r>
              <m:rPr>
                <m:sty m:val="p"/>
              </m:rPr>
              <m:t>,</m:t>
            </m:r>
            <m:r>
              <m:t>1248</m:t>
            </m:r>
          </m:sub>
        </m:sSub>
      </m:oMath>
      <w:r>
        <w:t xml:space="preserve"> </w:t>
      </w:r>
      <w:r>
        <w:t xml:space="preserve">= 46.7,</w:t>
      </w:r>
      <w:r>
        <w:t xml:space="preserve"> </w:t>
      </w:r>
      <m:oMath>
        <m:r>
          <m:t>p</m:t>
        </m:r>
      </m:oMath>
      <w:r>
        <w:t xml:space="preserve">&lt;0.001; random basal:</w:t>
      </w:r>
      <w:r>
        <w:t xml:space="preserve"> </w:t>
      </w:r>
      <m:oMath>
        <m:sSub>
          <m:e>
            <m:r>
              <m:t>F</m:t>
            </m:r>
          </m:e>
          <m:sub>
            <m:r>
              <m:t>6</m:t>
            </m:r>
            <m:r>
              <m:rPr>
                <m:sty m:val="p"/>
              </m:rPr>
              <m:t>,</m:t>
            </m:r>
            <m:r>
              <m:t>1248</m:t>
            </m:r>
          </m:sub>
        </m:sSub>
      </m:oMath>
      <w:r>
        <w:t xml:space="preserve"> </w:t>
      </w:r>
      <w:r>
        <w:t xml:space="preserve">= 109.0,</w:t>
      </w:r>
      <w:r>
        <w:t xml:space="preserve"> </w:t>
      </w:r>
      <m:oMath>
        <m:r>
          <m:t>p</m:t>
        </m:r>
      </m:oMath>
      <w:r>
        <w:t xml:space="preserve">&lt;0.001; random consumer:</w:t>
      </w:r>
      <w:r>
        <w:t xml:space="preserve"> </w:t>
      </w:r>
      <m:oMath>
        <m:sSub>
          <m:e>
            <m:r>
              <m:t>F</m:t>
            </m:r>
          </m:e>
          <m:sub>
            <m:r>
              <m:t>6</m:t>
            </m:r>
            <m:r>
              <m:rPr>
                <m:sty m:val="p"/>
              </m:rPr>
              <m:t>,</m:t>
            </m:r>
            <m:r>
              <m:t>1248</m:t>
            </m:r>
          </m:sub>
        </m:sSub>
      </m:oMath>
      <w:r>
        <w:t xml:space="preserve"> </w:t>
      </w:r>
      <w:r>
        <w:t xml:space="preserve">= 22.9,</w:t>
      </w:r>
      <w:r>
        <w:t xml:space="preserve"> </w:t>
      </w:r>
      <m:oMath>
        <m:r>
          <m:t>p</m:t>
        </m:r>
      </m:oMath>
      <w:r>
        <w:t xml:space="preserve">&lt;0.001),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simulations inferred greater robustness than dynamic simulations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link- and power-downsampled networks exhibiting slightly positive values of</w:t>
      </w:r>
      <w:r>
        <w:t xml:space="preserve"> </w:t>
      </w:r>
      <m:oMath>
        <m:r>
          <m:rPr>
            <m:sty m:val="p"/>
          </m:rPr>
          <m:t>Δ</m:t>
        </m:r>
        <m:sSub>
          <m:e>
            <m:r>
              <m:t>R</m:t>
            </m:r>
          </m:e>
          <m:sub>
            <m:r>
              <m:t>50</m:t>
            </m:r>
          </m:sub>
        </m:sSub>
      </m:oMath>
      <w:r>
        <w:t xml:space="preserve"> </w:t>
      </w:r>
      <w:r>
        <w:t xml:space="preserve">and random downsampled networks showing little difference between the two approaches, whereas niche-derived networks retained lower dynamic than topological robustness. Thus, the conclusion that topological analyses provide more conservative estimates of robustness was not universal, but remained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368842"/>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368842"/>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(A) Estimated robustness (</w:t>
            </w:r>
            <m:oMath>
              <m:sSub>
                <m:e>
                  <m:r>
                    <m:t>R</m:t>
                  </m:r>
                </m:e>
                <m:sub>
                  <m:r>
                    <m:t>50</m:t>
                  </m:r>
                </m:sub>
              </m:sSub>
            </m:oMath>
            <w:r>
              <w:t xml:space="preserve">) of realised networks under topological (green) and dynamic (yellow) extinction simulations across network types and extinction scenarios. Points represent mean robustness values, with connecting lines highlighting the consistent reduction in robustness estimates when extinction cascades are evaluated dynamically. (B) Difference between dynamic and topological robustness estimates (</w:t>
            </w:r>
            <m:oMath>
              <m:r>
                <m:rPr>
                  <m:sty m:val="p"/>
                </m:rPr>
                <m:t>Δ</m:t>
              </m:r>
              <m:sSub>
                <m:e>
                  <m:r>
                    <m:t>R</m:t>
                  </m:r>
                </m:e>
                <m:sub>
                  <m:r>
                    <m:t>50</m:t>
                  </m:r>
                </m:sub>
              </m:sSub>
              <m:r>
                <m:rPr>
                  <m:sty m:val="p"/>
                </m:rPr>
                <m:t>=</m:t>
              </m:r>
              <m:sSub>
                <m:e>
                  <m:r>
                    <m:t>R</m:t>
                  </m:r>
                </m:e>
                <m:sub>
                  <m:r>
                    <m:t>50</m:t>
                  </m:r>
                  <m:r>
                    <m:rPr>
                      <m:sty m:val="p"/>
                    </m:rPr>
                    <m:t>,</m:t>
                  </m:r>
                  <m:r>
                    <m:t>d</m:t>
                  </m:r>
                  <m:r>
                    <m:t>y</m:t>
                  </m:r>
                  <m:r>
                    <m:t>n</m:t>
                  </m:r>
                  <m:r>
                    <m:t>a</m:t>
                  </m:r>
                  <m:r>
                    <m:t>m</m:t>
                  </m:r>
                  <m:r>
                    <m:t>i</m:t>
                  </m:r>
                  <m:r>
                    <m:t>c</m:t>
                  </m:r>
                </m:sub>
              </m:sSub>
              <m:r>
                <m:rPr>
                  <m:sty m:val="p"/>
                </m:rPr>
                <m:t>−</m:t>
              </m:r>
              <m:sSub>
                <m:e>
                  <m:r>
                    <m:t>R</m:t>
                  </m:r>
                </m:e>
                <m:sub>
                  <m:r>
                    <m:t>50</m:t>
                  </m:r>
                  <m:r>
                    <m:rPr>
                      <m:sty m:val="p"/>
                    </m:rPr>
                    <m:t>,</m:t>
                  </m:r>
                  <m:r>
                    <m:t>t</m:t>
                  </m:r>
                  <m:r>
                    <m:t>o</m:t>
                  </m:r>
                  <m:r>
                    <m:t>p</m:t>
                  </m:r>
                  <m:r>
                    <m:t>o</m:t>
                  </m:r>
                  <m:r>
                    <m:t>l</m:t>
                  </m:r>
                  <m:r>
                    <m:t>o</m:t>
                  </m:r>
                  <m:r>
                    <m:t>g</m:t>
                  </m:r>
                  <m:r>
                    <m:t>i</m:t>
                  </m:r>
                  <m:r>
                    <m:t>c</m:t>
                  </m:r>
                  <m:r>
                    <m:t>a</m:t>
                  </m:r>
                  <m:r>
                    <m:t>l</m:t>
                  </m:r>
                </m:sub>
              </m:sSub>
            </m:oMath>
            <w:r>
              <w:t xml:space="preserve">) for each network type. Negative values indicate that dynamic simulations produce lower inferred robustness than topological simulations. Bars show estimated marginal means from linear models accounting for differences among empirical communities; letters indicate significant differences among network types based on Sidak-adjusted pairwise comparisons.</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bookmarkEnd w:id="29"/>
    <w:bookmarkStart w:id="38" w:name="Xc8e272c73ad6d078d0b8da4135f7ccd680d80a5"/>
    <w:p>
      <w:pPr>
        <w:pStyle w:val="Heading1"/>
      </w:pPr>
      <w:r>
        <w:t xml:space="preserve">5. Downsampling and burn-in alter inferred topological robustness</w:t>
      </w:r>
    </w:p>
    <w:p>
      <w:pPr>
        <w:pStyle w:val="BlockText"/>
      </w:pPr>
      <w:r>
        <w:t xml:space="preserve">this is probably destined as a supp matt exercise</w:t>
      </w:r>
    </w:p>
    <w:p>
      <w:pPr>
        <w:pStyle w:val="FirstParagraph"/>
      </w:pPr>
      <w:r>
        <w:t xml:space="preserve">To determine how ecological assumptions underlying downsampling influence emergent robustness, we examined how differences in robustness between downsampled networks and three reference</w:t>
      </w:r>
      <w:r>
        <w:t xml:space="preserve"> </w:t>
      </w:r>
      <w:r>
        <w:t xml:space="preserve">‘states’</w:t>
      </w:r>
      <w:r>
        <w:t xml:space="preserve"> </w:t>
      </w:r>
      <w:r>
        <w:t xml:space="preserve">(metaweb, ATN, and niche model) changed with increasing degree of downsampling (</w:t>
      </w:r>
      <m:oMath>
        <m:sSub>
          <m:e>
            <m:r>
              <m:rPr>
                <m:sty m:val="p"/>
              </m:rPr>
              <m:t>Δ</m:t>
            </m:r>
          </m:e>
          <m:sub>
            <m:r>
              <m:t>c</m:t>
            </m:r>
            <m:r>
              <m:t>o</m:t>
            </m:r>
            <m:r>
              <m:t>n</m:t>
            </m:r>
            <m:r>
              <m:t>n</m:t>
            </m:r>
            <m:r>
              <m:t>e</m:t>
            </m:r>
            <m:r>
              <m:t>c</m:t>
            </m:r>
            <m:r>
              <m:t>t</m:t>
            </m:r>
            <m:r>
              <m:t>a</m:t>
            </m:r>
            <m:r>
              <m:t>n</m:t>
            </m:r>
            <m:r>
              <m:t>c</m:t>
            </m:r>
            <m:r>
              <m:t>e</m:t>
            </m:r>
          </m:sub>
        </m:sSub>
      </m:oMath>
      <w:r>
        <w:t xml:space="preserve">). As the degree of downsampling increased, robustness trajectories increasingly diverged from the original metaweb, but the direction of this divergence depended on both the ecological mechanism used to remove interactions and the extinction scenario considered (Panel A;</w:t>
      </w:r>
      <w:r>
        <w:t xml:space="preserve"> </w:t>
      </w:r>
      <w:hyperlink w:anchor="fig-robDownsample">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robDownsample"/>
          <w:p>
            <w:pPr>
              <w:pStyle w:val="Compact"/>
              <w:jc w:val="center"/>
            </w:pPr>
            <w:r>
              <w:drawing>
                <wp:inline>
                  <wp:extent cx="5334000" cy="3088105"/>
                  <wp:effectExtent b="0" l="0" r="0" t="0"/>
                  <wp:docPr descr="" title="" id="31" name="Picture"/>
                  <a:graphic>
                    <a:graphicData uri="http://schemas.openxmlformats.org/drawingml/2006/picture">
                      <pic:pic>
                        <pic:nvPicPr>
                          <pic:cNvPr descr="figures/robustnessDownsampling.png" id="32" name="Picture"/>
                          <pic:cNvPicPr>
                            <a:picLocks noChangeArrowheads="1" noChangeAspect="1"/>
                          </pic:cNvPicPr>
                        </pic:nvPicPr>
                        <pic:blipFill>
                          <a:blip r:embed="rId30"/>
                          <a:stretch>
                            <a:fillRect/>
                          </a:stretch>
                        </pic:blipFill>
                        <pic:spPr bwMode="auto">
                          <a:xfrm>
                            <a:off x="0" y="0"/>
                            <a:ext cx="5334000" cy="30881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33"/>
        </w:tc>
      </w:tr>
    </w:tbl>
    <w:p>
      <w:pPr>
        <w:pStyle w:val="BodyText"/>
      </w:pPr>
      <w:r>
        <w:t xml:space="preserve">Under body-mass ordered extinction, reductions in connectance produced increasingly divergent robustness responses relative to the metaweb, while trajectories relative to the niche and ATN reference states were weaker and more variable. This pattern was reflected in a strong interaction between connectance reduction and reference state (</w:t>
      </w:r>
      <m:oMath>
        <m:sSup>
          <m:e>
            <m:r>
              <m:t>χ</m:t>
            </m:r>
          </m:e>
          <m:sup>
            <m:r>
              <m:t>2</m:t>
            </m:r>
          </m:sup>
        </m:sSup>
      </m:oMath>
      <w:r>
        <w:t xml:space="preserve"> </w:t>
      </w:r>
      <w:r>
        <w:t xml:space="preserve">= 384,</w:t>
      </w:r>
      <w:r>
        <w:t xml:space="preserve"> </w:t>
      </w:r>
      <m:oMath>
        <m:r>
          <m:t>p</m:t>
        </m:r>
      </m:oMath>
      <w:r>
        <w:t xml:space="preserve"> </w:t>
      </w:r>
      <w:r>
        <w:t xml:space="preserve">&lt; 0.001). Similar reference-dependent trajectories occurred under degree-based extinction (</w:t>
      </w:r>
      <m:oMath>
        <m:sSub>
          <m:e>
            <m:r>
              <m:rPr>
                <m:sty m:val="p"/>
              </m:rPr>
              <m:t>Δ</m:t>
            </m:r>
          </m:e>
          <m:sub>
            <m:r>
              <m:t>c</m:t>
            </m:r>
            <m:r>
              <m:t>o</m:t>
            </m:r>
            <m:r>
              <m:t>n</m:t>
            </m:r>
            <m:r>
              <m:t>n</m:t>
            </m:r>
            <m:r>
              <m:t>e</m:t>
            </m:r>
            <m:r>
              <m:t>c</m:t>
            </m:r>
            <m:r>
              <m:t>t</m:t>
            </m:r>
            <m:r>
              <m:t>a</m:t>
            </m:r>
            <m:r>
              <m:t>n</m:t>
            </m:r>
            <m:r>
              <m:t>c</m:t>
            </m:r>
            <m:r>
              <m:t>e</m:t>
            </m:r>
          </m:sub>
        </m:sSub>
      </m:oMath>
      <w:r>
        <w:t xml:space="preserve"> </w:t>
      </w:r>
      <m:oMath>
        <m:r>
          <m:rPr>
            <m:sty m:val="p"/>
          </m:rPr>
          <m:t>×</m:t>
        </m:r>
      </m:oMath>
      <w:r>
        <w:t xml:space="preserve"> </w:t>
      </w:r>
      <w:r>
        <w:t xml:space="preserve">reference</w:t>
      </w:r>
      <w:r>
        <w:t xml:space="preserve"> </w:t>
      </w:r>
      <m:oMath>
        <m:r>
          <m:rPr>
            <m:sty m:val="p"/>
          </m:rPr>
          <m:t>×</m:t>
        </m:r>
      </m:oMath>
      <w:r>
        <w:t xml:space="preserve"> </w:t>
      </w:r>
      <w:r>
        <w:t xml:space="preserve">downsampling approach:</w:t>
      </w:r>
      <w:r>
        <w:t xml:space="preserve"> </w:t>
      </w:r>
      <m:oMath>
        <m:sSup>
          <m:e>
            <m:r>
              <m:t>χ</m:t>
            </m:r>
          </m:e>
          <m:sup>
            <m:r>
              <m:t>2</m:t>
            </m:r>
          </m:sup>
        </m:sSup>
      </m:oMath>
      <w:r>
        <w:t xml:space="preserve"> </w:t>
      </w:r>
      <w:r>
        <w:t xml:space="preserve">= 98.7,</w:t>
      </w:r>
      <w:r>
        <w:t xml:space="preserve"> </w:t>
      </w:r>
      <m:oMath>
        <m:r>
          <m:t>p</m:t>
        </m:r>
      </m:oMath>
      <w:r>
        <w:t xml:space="preserve"> </w:t>
      </w:r>
      <w:r>
        <w:t xml:space="preserve">&lt; 0.001) and random consumer removal (</w:t>
      </w:r>
      <m:oMath>
        <m:sSup>
          <m:e>
            <m:r>
              <m:t>χ</m:t>
            </m:r>
          </m:e>
          <m:sup>
            <m:r>
              <m:t>2</m:t>
            </m:r>
          </m:sup>
        </m:sSup>
      </m:oMath>
      <w:r>
        <w:t xml:space="preserve"> </w:t>
      </w:r>
      <w:r>
        <w:t xml:space="preserve">= 22.1,</w:t>
      </w:r>
      <w:r>
        <w:t xml:space="preserve"> </w:t>
      </w:r>
      <m:oMath>
        <m:r>
          <m:t>p</m:t>
        </m:r>
      </m:oMath>
      <w:r>
        <w:t xml:space="preserve"> </w:t>
      </w:r>
      <w:r>
        <w:t xml:space="preserve">= 0.001), whereas random basal removal showed little evidence that the mechanism of downsampling altered robustness trajectories (</w:t>
      </w:r>
      <m:oMath>
        <m:sSup>
          <m:e>
            <m:r>
              <m:t>χ</m:t>
            </m:r>
          </m:e>
          <m:sup>
            <m:r>
              <m:t>2</m:t>
            </m:r>
          </m:sup>
        </m:sSup>
      </m:oMath>
      <w:r>
        <w:t xml:space="preserve"> </w:t>
      </w:r>
      <w:r>
        <w:t xml:space="preserve">= 0.54,</w:t>
      </w:r>
      <w:r>
        <w:t xml:space="preserve"> </w:t>
      </w:r>
      <m:oMath>
        <m:r>
          <m:t>p</m:t>
        </m:r>
      </m:oMath>
      <w:r>
        <w:t xml:space="preserve"> </w:t>
      </w:r>
      <w:r>
        <w:t xml:space="preserve">= 0.997)</w:t>
      </w:r>
    </w:p>
    <w:p>
      <w:pPr>
        <w:pStyle w:val="BodyText"/>
      </w:pPr>
      <w:r>
        <w:t xml:space="preserve">Interestingly, burn-in further modified the relationship between downsampled networks and realised reference states. Comparison of robustness before and after burn-in showed that the process of dynamic modelling altered the magnitude and direction of divergence between downsampled networks and the metaweb, ATN, and niche references (Panel B</w:t>
      </w:r>
      <w:r>
        <w:t xml:space="preserve"> </w:t>
      </w:r>
      <w:hyperlink w:anchor="fig-robDownsample">
        <w:r>
          <w:rPr>
            <w:rStyle w:val="Hyperlink"/>
          </w:rPr>
          <w:t xml:space="preserve">Figure 3</w:t>
        </w:r>
      </w:hyperlink>
      <w:r>
        <w:t xml:space="preserve">). Thus, the ecological assumptions imposed during downsampling do not fully determine the final properties of a realised network; subsequent dynamical processes provide an additional filter that can either reinforce or reduce differences among reconstruction approaches.</w:t>
      </w:r>
    </w:p>
    <w:p>
      <w:pPr>
        <w:pStyle w:val="BodyText"/>
      </w:pPr>
      <w:r>
        <w:t xml:space="preserve">Together, these results demonstrate that reducing the connectance of a metaweb alone does not determine how inferred robustness changes; rather, the ecological assumptions governing which interactions are retained determine which structural properties of the metaweb are preserved and which are lost. As more links are removed the downsampling approach increasingly imposes these assumptions, different downsampling approaches produce distinct robustness trajectories, with the magnitude of these differences depending on the extinction scenario considered. Furthermore, dynamic burn-in modifies these relationships, demonstrating that the robustness of a reconstructed network at creation does not necessarily represent the robustness of the dynamically realised community. Therefore, conclusions drawn from extinction simulations depend not only on the extinction mechanism itself, but also on the ecological assumptions used to translate potential interactions within a metaweb into realised network structure.</w:t>
      </w:r>
    </w:p>
    <w:p>
      <w:pPr>
        <w:pStyle w:val="BodyText"/>
      </w:pPr>
      <w:r>
        <w:t xml:space="preserve"># Dynamic extinctions re-enforce ecological assumptions</w:t>
      </w:r>
    </w:p>
    <w:p>
      <w:pPr>
        <w:pStyle w:val="BodyText"/>
      </w:pPr>
      <w:r>
        <w:t xml:space="preserve">High level about the methods where we do contrasts to determine if the robustness are different between network types, wo do this for each community as well as each time step and extinction mechanism combination (creation - topological, realised - topological, and realised - dynamic).</w:t>
      </w:r>
    </w:p>
    <w:p>
      <w:pPr>
        <w:pStyle w:val="BodyText"/>
      </w:pPr>
      <w:r>
        <w:t xml:space="preserve">Looking at these contrasts in aggregate (left column in</w:t>
      </w:r>
      <w:r>
        <w:t xml:space="preserve"> </w:t>
      </w:r>
      <w:hyperlink w:anchor="fig-robDynamic">
        <w:r>
          <w:rPr>
            <w:rStyle w:val="Hyperlink"/>
          </w:rPr>
          <w:t xml:space="preserve">Figure 4</w:t>
        </w:r>
      </w:hyperlink>
      <w:r>
        <w:t xml:space="preserve">) we can see that for both topological extinctions at creation and after burn-in (realisation) the empirically derived networks tend to give similar robustness estimates - this is also supported by the clustering analyses that show a distinct empirically-derived networks cluster, whereas the two synthetic networks form their own cluster (right column in</w:t>
      </w:r>
      <w:r>
        <w:t xml:space="preserve"> </w:t>
      </w:r>
      <w:hyperlink w:anchor="fig-robDynamic">
        <w:r>
          <w:rPr>
            <w:rStyle w:val="Hyperlink"/>
          </w:rPr>
          <w:t xml:space="preserve">Figure 4</w:t>
        </w:r>
      </w:hyperlink>
      <w:r>
        <w:t xml:space="preserve">). However for the dynamic extinctions we see a distinct reshuffling in the relationship between networks (bottom row in</w:t>
      </w:r>
      <w:r>
        <w:t xml:space="preserve"> </w:t>
      </w:r>
      <w:hyperlink w:anchor="fig-robDynamic">
        <w:r>
          <w:rPr>
            <w:rStyle w:val="Hyperlink"/>
          </w:rPr>
          <w:t xml:space="preserve">Figure 4</w:t>
        </w:r>
      </w:hyperlink>
      <w:r>
        <w:t xml:space="preserve">). Most notably we find that the downsampled niche networks give robustness estimates that are similar to those of the niche model, whereas the other empirically derived networks still give similar robustness estimates. Additionally we see that the ATN robustness estimates become more similar to the empirically derived networks.</w:t>
      </w:r>
    </w:p>
    <w:tbl>
      <w:tblPr>
        <w:tblStyle w:val="Table"/>
        <w:tblW w:type="pct" w:w="5000"/>
        <w:tblLayout w:type="fixed"/>
        <w:tblLook w:firstRow="0" w:lastRow="0" w:firstColumn="0" w:lastColumn="0" w:noHBand="0" w:noVBand="0" w:val="0000"/>
      </w:tblPr>
      <w:tblGrid>
        <w:gridCol w:w="7920"/>
      </w:tblGrid>
      <w:tr>
        <w:tc>
          <w:tcPr/>
          <w:bookmarkStart w:id="37" w:name="fig-robDynamic"/>
          <w:p>
            <w:pPr>
              <w:pStyle w:val="Compact"/>
              <w:jc w:val="center"/>
            </w:pPr>
            <w:r>
              <w:drawing>
                <wp:inline>
                  <wp:extent cx="5334000" cy="6400800"/>
                  <wp:effectExtent b="0" l="0" r="0" t="0"/>
                  <wp:docPr descr="" title="" id="35" name="Picture"/>
                  <a:graphic>
                    <a:graphicData uri="http://schemas.openxmlformats.org/drawingml/2006/picture">
                      <pic:pic>
                        <pic:nvPicPr>
                          <pic:cNvPr descr="figures/robustnessHighLevel.png" id="36" name="Picture"/>
                          <pic:cNvPicPr>
                            <a:picLocks noChangeArrowheads="1" noChangeAspect="1"/>
                          </pic:cNvPicPr>
                        </pic:nvPicPr>
                        <pic:blipFill>
                          <a:blip r:embed="rId34"/>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37"/>
        </w:tc>
      </w:tr>
    </w:tbl>
    <w:p>
      <w:pPr>
        <w:pStyle w:val="BodyText"/>
      </w:pPr>
      <w:r>
        <w:t xml:space="preserve">When looking at the topological extinctions it is clear that empirically derived networks will</w:t>
      </w:r>
      <w:r>
        <w:t xml:space="preserve"> </w:t>
      </w:r>
      <w:r>
        <w:t xml:space="preserve">‘behave’</w:t>
      </w:r>
      <w:r>
        <w:t xml:space="preserve"> </w:t>
      </w:r>
      <w:r>
        <w:t xml:space="preserve">differently to the realised networks - this is unsurprising given that these networks are structurally different to the realised webs (Panel B,</w:t>
      </w:r>
      <w:r>
        <w:t xml:space="preserve"> </w:t>
      </w:r>
      <w:hyperlink w:anchor="fig-downsample">
        <w:r>
          <w:rPr>
            <w:rStyle w:val="Hyperlink"/>
          </w:rPr>
          <w:t xml:space="preserve">Figure 1</w:t>
        </w:r>
      </w:hyperlink>
      <w:r>
        <w:t xml:space="preserve">) and the way in which topological extinctions are simulated means that the structure of the network will have direct impacts on the rate of cascading extinctions. For dynamic extinctions we see that it is clearly not only the structure of the</w:t>
      </w:r>
      <w:r>
        <w:t xml:space="preserve"> </w:t>
      </w:r>
      <w:r>
        <w:t xml:space="preserve">‘original’</w:t>
      </w:r>
      <w:r>
        <w:t xml:space="preserve"> </w:t>
      </w:r>
      <w:r>
        <w:t xml:space="preserve">network that determines it behaviour but rather there is a suggestion of some form of philosophical alignment that results in higher order differences in behaviour - as is evident in the the convergence of behaviour of the synthetic and empirically derived niche models. One would assume it is related to the body mass allocation for the networks. In the BEFW the body mass of a species determines other properties such as metabolic or consumption rate. For these simulations we used the internal body mass allocation function (brief description of how that works) which is determined by the trophic level of each species. Thus it is likely that the similarities in behaviour of two niche models is because their species have similar trophic organisation and thus similarly assigned body masses that determine how the species</w:t>
      </w:r>
      <w:r>
        <w:t xml:space="preserve"> </w:t>
      </w:r>
      <w:r>
        <w:t xml:space="preserve">‘behave’</w:t>
      </w:r>
      <w:r>
        <w:t xml:space="preserve"> </w:t>
      </w:r>
      <w:r>
        <w:t xml:space="preserve">over time - and thus the overall longevity of the network</w:t>
      </w:r>
      <w:r>
        <w:t xml:space="preserve"> </w:t>
      </w:r>
      <w:r>
        <w:t xml:space="preserve">(Delmas et al., 2020)</w:t>
      </w:r>
      <w:r>
        <w:t xml:space="preserve">.</w:t>
      </w:r>
    </w:p>
    <w:bookmarkEnd w:id="38"/>
    <w:bookmarkStart w:id="39" w:name="conclusion"/>
    <w:p>
      <w:pPr>
        <w:pStyle w:val="Heading1"/>
      </w:pPr>
      <w:r>
        <w:t xml:space="preserve">6. Conclusion</w:t>
      </w:r>
    </w:p>
    <w:p>
      <w:pPr>
        <w:pStyle w:val="FirstParagraph"/>
      </w:pPr>
      <w:r>
        <w:t xml:space="preserve">Here we present a proof of concept that is twofold. Firstly we present a series of downsampling approaches, all these approaches concretely alter the structure of the network - as well as the resulting inferences about robustness. Importantly for topological (structural) robustness we do not see an appreciable difference in the behaviour of the differently downsampled networks – implying they still retain very similar structure. although it remains to be seen if we apply a larger degree of downsampling if we will see a greater divergence in this behaviour (something about how the most connected network was only 0.20 so still pretty</w:t>
      </w:r>
      <w:r>
        <w:t xml:space="preserve"> </w:t>
      </w:r>
      <w:r>
        <w:t xml:space="preserve">‘sparse’</w:t>
      </w:r>
      <w:r>
        <w:t xml:space="preserve"> </w:t>
      </w:r>
      <w:r>
        <w:t xml:space="preserve">as far as metawebs go).</w:t>
      </w:r>
    </w:p>
    <w:p>
      <w:pPr>
        <w:pStyle w:val="BodyText"/>
      </w:pPr>
      <w:r>
        <w:t xml:space="preserve">Second is that we are reinforcing that topological extinctions are way more conservative than their dynamic counter-part. And here it is probably worth underscoring how topological is purely reflecting the structure whereas the dynamic extinctions are going to be very dependant on differences in rates/etc i.e. even more driven by node level properties</w:t>
      </w:r>
    </w:p>
    <w:p>
      <w:pPr>
        <w:pStyle w:val="BodyText"/>
      </w:pPr>
      <w:r>
        <w:t xml:space="preserve">In terms of dynamic extinctions worth pointing out that the ATN also behaves very differently which implies that even these are not always consistent. So again we are back at the question of are we modelling network or model behaviour</w:t>
      </w:r>
      <w:r>
        <w:t xml:space="preserve"> </w:t>
      </w:r>
      <w:r>
        <w:t xml:space="preserve">(Strydom, Karapunar, et al., 2026)</w:t>
      </w:r>
      <w:r>
        <w:t xml:space="preserve">. Here I think it is worth trying to pick apart what is it about the BEFW and niche models that they behave in a distinct manner whereas the other models do their own thing so to speak. Is it because the BEFW itself is build on the philosophy of the niche model and thus reinforces it behaviour and so any other network we put into it will end up behaving differently?</w:t>
      </w:r>
    </w:p>
    <w:p>
      <w:pPr>
        <w:pStyle w:val="BodyText"/>
      </w:pPr>
      <w:r>
        <w:t xml:space="preserve">Try and close out with some sort of recommendation but we need to be clear here that there is no universal truth and so saying the niche model is the target would be wrong. however we can point to the similarity in behaviours between the two niche models and suggest that if the intention is to try and do dynamic simulations with empirical data the niche downsampling approach might be the better one.</w:t>
      </w:r>
    </w:p>
    <w:bookmarkEnd w:id="39"/>
    <w:bookmarkStart w:id="69" w:name="references"/>
    <w:p>
      <w:pPr>
        <w:pStyle w:val="Heading1"/>
      </w:pPr>
      <w:r>
        <w:t xml:space="preserve">References</w:t>
      </w:r>
    </w:p>
    <w:bookmarkStart w:id="68" w:name="refs"/>
    <w:bookmarkStart w:id="41"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40">
        <w:r>
          <w:rPr>
            <w:rStyle w:val="Hyperlink"/>
          </w:rPr>
          <w:t xml:space="preserve">https://doi.org/10.1137/141000671</w:t>
        </w:r>
      </w:hyperlink>
    </w:p>
    <w:bookmarkEnd w:id="41"/>
    <w:bookmarkStart w:id="43"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2">
        <w:r>
          <w:rPr>
            <w:rStyle w:val="Hyperlink"/>
          </w:rPr>
          <w:t xml:space="preserve">https://doi.org/10.1890/0012-9658(2006)87[2411:CBRINF]2.0.CO;2</w:t>
        </w:r>
      </w:hyperlink>
    </w:p>
    <w:bookmarkEnd w:id="43"/>
    <w:bookmarkStart w:id="45"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4">
        <w:r>
          <w:rPr>
            <w:rStyle w:val="Hyperlink"/>
          </w:rPr>
          <w:t xml:space="preserve">https://doi.org/10.1016/j.baae.2011.09.008</w:t>
        </w:r>
      </w:hyperlink>
    </w:p>
    <w:bookmarkEnd w:id="45"/>
    <w:bookmarkStart w:id="47"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6">
        <w:r>
          <w:rPr>
            <w:rStyle w:val="Hyperlink"/>
          </w:rPr>
          <w:t xml:space="preserve">https://doi.org/10.1111/2041-210X.12713</w:t>
        </w:r>
      </w:hyperlink>
    </w:p>
    <w:bookmarkEnd w:id="47"/>
    <w:bookmarkStart w:id="49" w:name="ref-delmasFoodWebStructure2020"/>
    <w:p>
      <w:pPr>
        <w:pStyle w:val="Bibliography"/>
      </w:pPr>
      <w:r>
        <w:t xml:space="preserve">Delmas, E., Stouffer, D. B., &amp; Poisot, T. (2020, June 12).</w:t>
      </w:r>
      <w:r>
        <w:t xml:space="preserve"> </w:t>
      </w:r>
      <w:r>
        <w:rPr>
          <w:i/>
          <w:iCs/>
        </w:rPr>
        <w:t xml:space="preserve">Food web structure alters ecological communities top-heaviness with little effect on the biodiversity-functioning relationship</w:t>
      </w:r>
      <w:r>
        <w:t xml:space="preserve">.</w:t>
      </w:r>
      <w:r>
        <w:t xml:space="preserve"> </w:t>
      </w:r>
      <w:hyperlink r:id="rId48">
        <w:r>
          <w:rPr>
            <w:rStyle w:val="Hyperlink"/>
          </w:rPr>
          <w:t xml:space="preserve">https://doi.org/10.1101/2020.06.10.144949</w:t>
        </w:r>
      </w:hyperlink>
      <w:r>
        <w:t xml:space="preserve"> </w:t>
      </w:r>
      <w:r>
        <w:t xml:space="preserve">(Pre-published)</w:t>
      </w:r>
    </w:p>
    <w:bookmarkEnd w:id="49"/>
    <w:bookmarkStart w:id="51"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0">
        <w:r>
          <w:rPr>
            <w:rStyle w:val="Hyperlink"/>
          </w:rPr>
          <w:t xml:space="preserve">https://doi.org/10.1111/oik.01588</w:t>
        </w:r>
      </w:hyperlink>
    </w:p>
    <w:bookmarkEnd w:id="51"/>
    <w:bookmarkStart w:id="53"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2">
        <w:r>
          <w:rPr>
            <w:rStyle w:val="Hyperlink"/>
          </w:rPr>
          <w:t xml:space="preserve">https://doi.org/10.64898/2026.02.24.707709</w:t>
        </w:r>
      </w:hyperlink>
      <w:r>
        <w:t xml:space="preserve"> </w:t>
      </w:r>
      <w:r>
        <w:t xml:space="preserve">(Pre-published)</w:t>
      </w:r>
    </w:p>
    <w:bookmarkEnd w:id="53"/>
    <w:bookmarkStart w:id="55"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4">
        <w:r>
          <w:rPr>
            <w:rStyle w:val="Hyperlink"/>
          </w:rPr>
          <w:t xml:space="preserve">https://doi.org/10.1111/2041-210X.14497</w:t>
        </w:r>
      </w:hyperlink>
    </w:p>
    <w:bookmarkEnd w:id="55"/>
    <w:bookmarkStart w:id="57"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56">
        <w:r>
          <w:rPr>
            <w:rStyle w:val="Hyperlink"/>
          </w:rPr>
          <w:t xml:space="preserve">https://www.jstor.org/stable/4096814</w:t>
        </w:r>
      </w:hyperlink>
    </w:p>
    <w:bookmarkEnd w:id="57"/>
    <w:bookmarkStart w:id="59"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58">
        <w:r>
          <w:rPr>
            <w:rStyle w:val="Hyperlink"/>
          </w:rPr>
          <w:t xml:space="preserve">https://doi.org/10.1101/2024.01.30.578036</w:t>
        </w:r>
      </w:hyperlink>
      <w:r>
        <w:t xml:space="preserve"> </w:t>
      </w:r>
      <w:r>
        <w:t xml:space="preserve">(Pre-published)</w:t>
      </w:r>
    </w:p>
    <w:bookmarkEnd w:id="59"/>
    <w:bookmarkStart w:id="61"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0">
        <w:r>
          <w:rPr>
            <w:rStyle w:val="Hyperlink"/>
          </w:rPr>
          <w:t xml:space="preserve">https://doi.org/10.1111/2041-210X.13835</w:t>
        </w:r>
      </w:hyperlink>
    </w:p>
    <w:bookmarkEnd w:id="61"/>
    <w:bookmarkStart w:id="63"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62">
        <w:r>
          <w:rPr>
            <w:rStyle w:val="Hyperlink"/>
          </w:rPr>
          <w:t xml:space="preserve">https://ecoevorxiv.org/repository/view/11514/</w:t>
        </w:r>
      </w:hyperlink>
    </w:p>
    <w:bookmarkEnd w:id="63"/>
    <w:bookmarkStart w:id="65"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64">
        <w:r>
          <w:rPr>
            <w:rStyle w:val="Hyperlink"/>
          </w:rPr>
          <w:t xml:space="preserve">https://ecoevorxiv.org/repository/view/13495/</w:t>
        </w:r>
      </w:hyperlink>
    </w:p>
    <w:bookmarkEnd w:id="65"/>
    <w:bookmarkStart w:id="67"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66">
        <w:r>
          <w:rPr>
            <w:rStyle w:val="Hyperlink"/>
          </w:rPr>
          <w:t xml:space="preserve">https://doi.org/10.1038/35004572</w:t>
        </w:r>
      </w:hyperlink>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hyperlink" Id="rId44" Target="https://doi.org/10.1016/j.baae.2011.09.008" TargetMode="External" /><Relationship Type="http://schemas.openxmlformats.org/officeDocument/2006/relationships/hyperlink" Id="rId66" Target="https://doi.org/10.1038/35004572" TargetMode="External" /><Relationship Type="http://schemas.openxmlformats.org/officeDocument/2006/relationships/hyperlink" Id="rId48" Target="https://doi.org/10.1101/2020.06.10.144949" TargetMode="External" /><Relationship Type="http://schemas.openxmlformats.org/officeDocument/2006/relationships/hyperlink" Id="rId58" Target="https://doi.org/10.1101/2024.01.30.578036" TargetMode="External" /><Relationship Type="http://schemas.openxmlformats.org/officeDocument/2006/relationships/hyperlink" Id="rId46" Target="https://doi.org/10.1111/2041-210X.12713" TargetMode="External" /><Relationship Type="http://schemas.openxmlformats.org/officeDocument/2006/relationships/hyperlink" Id="rId60" Target="https://doi.org/10.1111/2041-210X.13835" TargetMode="External" /><Relationship Type="http://schemas.openxmlformats.org/officeDocument/2006/relationships/hyperlink" Id="rId54" Target="https://doi.org/10.1111/2041-210X.14497" TargetMode="External" /><Relationship Type="http://schemas.openxmlformats.org/officeDocument/2006/relationships/hyperlink" Id="rId50" Target="https://doi.org/10.1111/oik.01588" TargetMode="External" /><Relationship Type="http://schemas.openxmlformats.org/officeDocument/2006/relationships/hyperlink" Id="rId40" Target="https://doi.org/10.1137/141000671" TargetMode="External" /><Relationship Type="http://schemas.openxmlformats.org/officeDocument/2006/relationships/hyperlink" Id="rId42" Target="https://doi.org/10.1890/0012-9658(2006)87[2411:CBRINF]2.0.CO;2" TargetMode="External" /><Relationship Type="http://schemas.openxmlformats.org/officeDocument/2006/relationships/hyperlink" Id="rId52" Target="https://doi.org/10.64898/2026.02.24.707709" TargetMode="External" /><Relationship Type="http://schemas.openxmlformats.org/officeDocument/2006/relationships/hyperlink" Id="rId62" Target="https://ecoevorxiv.org/repository/view/11514/" TargetMode="External" /><Relationship Type="http://schemas.openxmlformats.org/officeDocument/2006/relationships/hyperlink" Id="rId64" Target="https://ecoevorxiv.org/repository/view/13495/" TargetMode="External" /><Relationship Type="http://schemas.openxmlformats.org/officeDocument/2006/relationships/hyperlink" Id="rId56"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16/j.baae.2011.09.008" TargetMode="External" /><Relationship Type="http://schemas.openxmlformats.org/officeDocument/2006/relationships/hyperlink" Id="rId66" Target="https://doi.org/10.1038/35004572" TargetMode="External" /><Relationship Type="http://schemas.openxmlformats.org/officeDocument/2006/relationships/hyperlink" Id="rId48" Target="https://doi.org/10.1101/2020.06.10.144949" TargetMode="External" /><Relationship Type="http://schemas.openxmlformats.org/officeDocument/2006/relationships/hyperlink" Id="rId58" Target="https://doi.org/10.1101/2024.01.30.578036" TargetMode="External" /><Relationship Type="http://schemas.openxmlformats.org/officeDocument/2006/relationships/hyperlink" Id="rId46" Target="https://doi.org/10.1111/2041-210X.12713" TargetMode="External" /><Relationship Type="http://schemas.openxmlformats.org/officeDocument/2006/relationships/hyperlink" Id="rId60" Target="https://doi.org/10.1111/2041-210X.13835" TargetMode="External" /><Relationship Type="http://schemas.openxmlformats.org/officeDocument/2006/relationships/hyperlink" Id="rId54" Target="https://doi.org/10.1111/2041-210X.14497" TargetMode="External" /><Relationship Type="http://schemas.openxmlformats.org/officeDocument/2006/relationships/hyperlink" Id="rId50" Target="https://doi.org/10.1111/oik.01588" TargetMode="External" /><Relationship Type="http://schemas.openxmlformats.org/officeDocument/2006/relationships/hyperlink" Id="rId40" Target="https://doi.org/10.1137/141000671" TargetMode="External" /><Relationship Type="http://schemas.openxmlformats.org/officeDocument/2006/relationships/hyperlink" Id="rId42" Target="https://doi.org/10.1890/0012-9658(2006)87[2411:CBRINF]2.0.CO;2" TargetMode="External" /><Relationship Type="http://schemas.openxmlformats.org/officeDocument/2006/relationships/hyperlink" Id="rId52" Target="https://doi.org/10.64898/2026.02.24.707709" TargetMode="External" /><Relationship Type="http://schemas.openxmlformats.org/officeDocument/2006/relationships/hyperlink" Id="rId62" Target="https://ecoevorxiv.org/repository/view/11514/" TargetMode="External" /><Relationship Type="http://schemas.openxmlformats.org/officeDocument/2006/relationships/hyperlink" Id="rId64" Target="https://ecoevorxiv.org/repository/view/13495/" TargetMode="External" /><Relationship Type="http://schemas.openxmlformats.org/officeDocument/2006/relationships/hyperlink" Id="rId56"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Downsampling</dc:title>
  <dc:creator/>
  <cp:keywords>food webs</cp:keywords>
  <dcterms:created xsi:type="dcterms:W3CDTF">2026-08-06T12:17:50Z</dcterms:created>
  <dcterms:modified xsi:type="dcterms:W3CDTF">2026-08-06T12:17:50Z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2026-08-06</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