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4.png" ContentType="image/png"/>
  <Override PartName="/word/media/rId3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2026-08-05</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5334000"/>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24"/>
    <w:bookmarkStart w:id="29" w:name="X62ef15145e52d29c97c229b1712b0ef83451468"/>
    <w:p>
      <w:pPr>
        <w:pStyle w:val="Heading1"/>
      </w:pPr>
      <w:r>
        <w:t xml:space="preserve">4. Differences in inferred robustness of topological and dynamic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rPr>
            <m:sty m:val="p"/>
          </m:rP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368842"/>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368842"/>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(A) Estimated robustness (</w:t>
            </w:r>
            <m:oMath>
              <m:sSub>
                <m:e>
                  <m:r>
                    <m:t>R</m:t>
                  </m:r>
                </m:e>
                <m:sub>
                  <m:r>
                    <m:t>50</m:t>
                  </m:r>
                </m:sub>
              </m:sSub>
            </m:oMath>
            <w:r>
              <w:t xml:space="preserve">) of realised networks under topological (green) and dynamic (yellow) extinction simulations across network types and extinction scenarios. Points represent mean robustness values, with connecting lines highlighting the consistent reduction in robustness estimates when extinction cascades are evaluated dynamically. (B) Difference between dynamic and topological robustness estimates (</w:t>
            </w:r>
            <m:oMath>
              <m:r>
                <m:rPr>
                  <m:sty m:val="p"/>
                </m:rPr>
                <m:t>Δ</m:t>
              </m:r>
              <m:sSub>
                <m:e>
                  <m:r>
                    <m:t>R</m:t>
                  </m:r>
                </m:e>
                <m:sub>
                  <m:r>
                    <m:t>50</m:t>
                  </m:r>
                </m:sub>
              </m:sSub>
              <m:r>
                <m:rPr>
                  <m:sty m:val="p"/>
                </m:rPr>
                <m:t>=</m:t>
              </m:r>
              <m:sSub>
                <m:e>
                  <m:r>
                    <m:t>R</m:t>
                  </m:r>
                </m:e>
                <m:sub>
                  <m:r>
                    <m:t>50</m:t>
                  </m:r>
                  <m:r>
                    <m:rPr>
                      <m:sty m:val="p"/>
                    </m:rPr>
                    <m:t>,</m:t>
                  </m:r>
                  <m:r>
                    <m:t>d</m:t>
                  </m:r>
                  <m:r>
                    <m:t>y</m:t>
                  </m:r>
                  <m:r>
                    <m:t>n</m:t>
                  </m:r>
                  <m:r>
                    <m:t>a</m:t>
                  </m:r>
                  <m:r>
                    <m:t>m</m:t>
                  </m:r>
                  <m:r>
                    <m:t>i</m:t>
                  </m:r>
                  <m:r>
                    <m:t>c</m:t>
                  </m:r>
                </m:sub>
              </m:sSub>
              <m:r>
                <m:rPr>
                  <m:sty m:val="p"/>
                </m:rPr>
                <m:t>−</m:t>
              </m:r>
              <m:sSub>
                <m:e>
                  <m:r>
                    <m:t>R</m:t>
                  </m:r>
                </m:e>
                <m:sub>
                  <m:r>
                    <m:t>50</m:t>
                  </m:r>
                  <m:r>
                    <m:rPr>
                      <m:sty m:val="p"/>
                    </m:rPr>
                    <m:t>,</m:t>
                  </m:r>
                  <m:r>
                    <m:t>t</m:t>
                  </m:r>
                  <m:r>
                    <m:t>o</m:t>
                  </m:r>
                  <m:r>
                    <m:t>p</m:t>
                  </m:r>
                  <m:r>
                    <m:t>o</m:t>
                  </m:r>
                  <m:r>
                    <m:t>l</m:t>
                  </m:r>
                  <m:r>
                    <m:t>o</m:t>
                  </m:r>
                  <m:r>
                    <m:t>g</m:t>
                  </m:r>
                  <m:r>
                    <m:t>i</m:t>
                  </m:r>
                  <m:r>
                    <m:t>c</m:t>
                  </m:r>
                  <m:r>
                    <m:t>a</m:t>
                  </m:r>
                  <m:r>
                    <m:t>l</m:t>
                  </m:r>
                </m:sub>
              </m:sSub>
            </m:oMath>
            <w:r>
              <w:t xml:space="preserve">) for each network type. Negative values indicate that dynamic simulations produce lower inferred robustness than topological simulations. Bars show estimated marginal means from linear models accounting for differences among empirical communities; letters indicate significant differences among network types based on Sidak-adjusted pairwise comparisons.</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29"/>
    <w:bookmarkStart w:id="42" w:name="Xf80b93725e354d718d9344b1cbb51abd26f5b39"/>
    <w:p>
      <w:pPr>
        <w:pStyle w:val="Heading1"/>
      </w:pPr>
      <w:r>
        <w:t xml:space="preserve">5. Network type alters the propagation of dynamical extinctions</w:t>
      </w:r>
    </w:p>
    <w:p>
      <w:pPr>
        <w:pStyle w:val="FirstParagraph"/>
      </w:pPr>
      <w:r>
        <w:t xml:space="preserve">Report here about the secondary extinction rates as well as the pairwise contrasts.</w:t>
      </w:r>
    </w:p>
    <w:tbl>
      <w:tblPr>
        <w:tblStyle w:val="Table"/>
        <w:tblW w:type="pct" w:w="5000"/>
        <w:tblLayout w:type="fixed"/>
        <w:tblLook w:firstRow="0" w:lastRow="0" w:firstColumn="0" w:lastColumn="0" w:noHBand="0" w:noVBand="0" w:val="0000"/>
      </w:tblPr>
      <w:tblGrid>
        <w:gridCol w:w="7920"/>
      </w:tblGrid>
      <w:tr>
        <w:tc>
          <w:tcPr/>
          <w:bookmarkStart w:id="33" w:name="fig-1"/>
          <w:p>
            <w:pPr>
              <w:pStyle w:val="Compact"/>
              <w:jc w:val="center"/>
            </w:pPr>
            <w:r>
              <w:drawing>
                <wp:inline>
                  <wp:extent cx="5334000" cy="2133599"/>
                  <wp:effectExtent b="0" l="0" r="0" t="0"/>
                  <wp:docPr descr="" title="" id="31" name="Picture"/>
                  <a:graphic>
                    <a:graphicData uri="http://schemas.openxmlformats.org/drawingml/2006/picture">
                      <pic:pic>
                        <pic:nvPicPr>
                          <pic:cNvPr descr="figures/paleo_primVsec.png" id="32" name="Picture"/>
                          <pic:cNvPicPr>
                            <a:picLocks noChangeArrowheads="1" noChangeAspect="1"/>
                          </pic:cNvPicPr>
                        </pic:nvPicPr>
                        <pic:blipFill>
                          <a:blip r:embed="rId30"/>
                          <a:stretch>
                            <a:fillRect/>
                          </a:stretch>
                        </pic:blipFill>
                        <pic:spPr bwMode="auto">
                          <a:xfrm>
                            <a:off x="0" y="0"/>
                            <a:ext cx="5334000" cy="2133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fig-2"/>
          <w:p>
            <w:pPr>
              <w:pStyle w:val="Compact"/>
              <w:jc w:val="center"/>
            </w:pPr>
            <w:r>
              <w:drawing>
                <wp:inline>
                  <wp:extent cx="5334000" cy="4267200"/>
                  <wp:effectExtent b="0" l="0" r="0" t="0"/>
                  <wp:docPr descr="" title="" id="35" name="Picture"/>
                  <a:graphic>
                    <a:graphicData uri="http://schemas.openxmlformats.org/drawingml/2006/picture">
                      <pic:pic>
                        <pic:nvPicPr>
                          <pic:cNvPr descr="figures/rob_contrasts.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334000" cy="3556000"/>
                  <wp:effectExtent b="0" l="0" r="0" t="0"/>
                  <wp:docPr descr="" title="" id="39" name="Picture"/>
                  <a:graphic>
                    <a:graphicData uri="http://schemas.openxmlformats.org/drawingml/2006/picture">
                      <pic:pic>
                        <pic:nvPicPr>
                          <pic:cNvPr descr="figures/rob_prop_indistinguishable.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TODO</w:t>
            </w:r>
          </w:p>
          <w:bookmarkEnd w:id="41"/>
        </w:tc>
      </w:tr>
    </w:tbl>
    <w:p>
      <w:pPr>
        <w:pStyle w:val="BodyText"/>
      </w:pPr>
      <w:r>
        <w:t xml:space="preserve">## Relative to the niche model, XXX is the closest match</w:t>
      </w:r>
    </w:p>
    <w:p>
      <w:pPr>
        <w:pStyle w:val="BodyText"/>
      </w:pPr>
      <w:r>
        <w:t xml:space="preserve">Most often the ones to not be different from each other. Worth pointing out that the ATN behaves very differently as well. So again we are back at are we modelling network or model behaviour</w:t>
      </w:r>
      <w:r>
        <w:t xml:space="preserve"> </w:t>
      </w:r>
      <w:r>
        <w:t xml:space="preserve">(Strydom, Karapunar, et al., 2026)</w:t>
      </w:r>
    </w:p>
    <w:bookmarkEnd w:id="42"/>
    <w:bookmarkStart w:id="43" w:name="conclusion"/>
    <w:p>
      <w:pPr>
        <w:pStyle w:val="Heading1"/>
      </w:pPr>
      <w:r>
        <w:t xml:space="preserve">6. Conclusion</w:t>
      </w:r>
    </w:p>
    <w:bookmarkEnd w:id="43"/>
    <w:bookmarkStart w:id="71" w:name="references"/>
    <w:p>
      <w:pPr>
        <w:pStyle w:val="Heading1"/>
      </w:pPr>
      <w:r>
        <w:t xml:space="preserve">References</w:t>
      </w:r>
    </w:p>
    <w:bookmarkStart w:id="70" w:name="refs"/>
    <w:bookmarkStart w:id="45"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44">
        <w:r>
          <w:rPr>
            <w:rStyle w:val="Hyperlink"/>
          </w:rPr>
          <w:t xml:space="preserve">https://doi.org/10.1137/141000671</w:t>
        </w:r>
      </w:hyperlink>
    </w:p>
    <w:bookmarkEnd w:id="45"/>
    <w:bookmarkStart w:id="47"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6">
        <w:r>
          <w:rPr>
            <w:rStyle w:val="Hyperlink"/>
          </w:rPr>
          <w:t xml:space="preserve">https://doi.org/10.1890/0012-9658(2006)87[2411:CBRINF]2.0.CO;2</w:t>
        </w:r>
      </w:hyperlink>
    </w:p>
    <w:bookmarkEnd w:id="47"/>
    <w:bookmarkStart w:id="49"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8">
        <w:r>
          <w:rPr>
            <w:rStyle w:val="Hyperlink"/>
          </w:rPr>
          <w:t xml:space="preserve">https://doi.org/10.1016/j.baae.2011.09.008</w:t>
        </w:r>
      </w:hyperlink>
    </w:p>
    <w:bookmarkEnd w:id="49"/>
    <w:bookmarkStart w:id="51"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50">
        <w:r>
          <w:rPr>
            <w:rStyle w:val="Hyperlink"/>
          </w:rPr>
          <w:t xml:space="preserve">https://doi.org/10.1111/2041-210X.12713</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58">
        <w:r>
          <w:rPr>
            <w:rStyle w:val="Hyperlink"/>
          </w:rPr>
          <w:t xml:space="preserve">https://www.jstor.org/stable/4096814</w:t>
        </w:r>
      </w:hyperlink>
    </w:p>
    <w:bookmarkEnd w:id="59"/>
    <w:bookmarkStart w:id="61"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0">
        <w:r>
          <w:rPr>
            <w:rStyle w:val="Hyperlink"/>
          </w:rPr>
          <w:t xml:space="preserve">https://doi.org/10.1101/2024.01.30.578036</w:t>
        </w:r>
      </w:hyperlink>
      <w:r>
        <w:t xml:space="preserve"> </w:t>
      </w:r>
      <w:r>
        <w:t xml:space="preserve">(Pre-published)</w:t>
      </w:r>
    </w:p>
    <w:bookmarkEnd w:id="61"/>
    <w:bookmarkStart w:id="63"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2">
        <w:r>
          <w:rPr>
            <w:rStyle w:val="Hyperlink"/>
          </w:rPr>
          <w:t xml:space="preserve">https://doi.org/10.1111/2041-210X.13835</w:t>
        </w:r>
      </w:hyperlink>
    </w:p>
    <w:bookmarkEnd w:id="63"/>
    <w:bookmarkStart w:id="65"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4">
        <w:r>
          <w:rPr>
            <w:rStyle w:val="Hyperlink"/>
          </w:rPr>
          <w:t xml:space="preserve">https://ecoevorxiv.org/repository/view/11514/</w:t>
        </w:r>
      </w:hyperlink>
    </w:p>
    <w:bookmarkEnd w:id="65"/>
    <w:bookmarkStart w:id="67"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66">
        <w:r>
          <w:rPr>
            <w:rStyle w:val="Hyperlink"/>
          </w:rPr>
          <w:t xml:space="preserve">https://ecoevorxiv.org/repository/view/13495/</w:t>
        </w:r>
      </w:hyperlink>
    </w:p>
    <w:bookmarkEnd w:id="67"/>
    <w:bookmarkStart w:id="69"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68">
        <w:r>
          <w:rPr>
            <w:rStyle w:val="Hyperlink"/>
          </w:rPr>
          <w:t xml:space="preserve">https://doi.org/10.1038/35004572</w:t>
        </w:r>
      </w:hyperlink>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hyperlink" Id="rId48" Target="https://doi.org/10.1016/j.baae.2011.09.008" TargetMode="External" /><Relationship Type="http://schemas.openxmlformats.org/officeDocument/2006/relationships/hyperlink" Id="rId68" Target="https://doi.org/10.1038/35004572" TargetMode="External" /><Relationship Type="http://schemas.openxmlformats.org/officeDocument/2006/relationships/hyperlink" Id="rId60" Target="https://doi.org/10.1101/2024.01.30.578036" TargetMode="External" /><Relationship Type="http://schemas.openxmlformats.org/officeDocument/2006/relationships/hyperlink" Id="rId50" Target="https://doi.org/10.1111/2041-210X.12713" TargetMode="External" /><Relationship Type="http://schemas.openxmlformats.org/officeDocument/2006/relationships/hyperlink" Id="rId62"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44" Target="https://doi.org/10.1137/141000671" TargetMode="External" /><Relationship Type="http://schemas.openxmlformats.org/officeDocument/2006/relationships/hyperlink" Id="rId46" Target="https://doi.org/10.1890/0012-9658(2006)87[2411:CBRINF]2.0.CO;2" TargetMode="External" /><Relationship Type="http://schemas.openxmlformats.org/officeDocument/2006/relationships/hyperlink" Id="rId54" Target="https://doi.org/10.64898/2026.02.24.707709" TargetMode="External" /><Relationship Type="http://schemas.openxmlformats.org/officeDocument/2006/relationships/hyperlink" Id="rId64" Target="https://ecoevorxiv.org/repository/view/11514/" TargetMode="External" /><Relationship Type="http://schemas.openxmlformats.org/officeDocument/2006/relationships/hyperlink" Id="rId66" Target="https://ecoevorxiv.org/repository/view/13495/" TargetMode="External" /><Relationship Type="http://schemas.openxmlformats.org/officeDocument/2006/relationships/hyperlink" Id="rId58"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016/j.baae.2011.09.008" TargetMode="External" /><Relationship Type="http://schemas.openxmlformats.org/officeDocument/2006/relationships/hyperlink" Id="rId68" Target="https://doi.org/10.1038/35004572" TargetMode="External" /><Relationship Type="http://schemas.openxmlformats.org/officeDocument/2006/relationships/hyperlink" Id="rId60" Target="https://doi.org/10.1101/2024.01.30.578036" TargetMode="External" /><Relationship Type="http://schemas.openxmlformats.org/officeDocument/2006/relationships/hyperlink" Id="rId50" Target="https://doi.org/10.1111/2041-210X.12713" TargetMode="External" /><Relationship Type="http://schemas.openxmlformats.org/officeDocument/2006/relationships/hyperlink" Id="rId62"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44" Target="https://doi.org/10.1137/141000671" TargetMode="External" /><Relationship Type="http://schemas.openxmlformats.org/officeDocument/2006/relationships/hyperlink" Id="rId46" Target="https://doi.org/10.1890/0012-9658(2006)87[2411:CBRINF]2.0.CO;2" TargetMode="External" /><Relationship Type="http://schemas.openxmlformats.org/officeDocument/2006/relationships/hyperlink" Id="rId54" Target="https://doi.org/10.64898/2026.02.24.707709" TargetMode="External" /><Relationship Type="http://schemas.openxmlformats.org/officeDocument/2006/relationships/hyperlink" Id="rId64" Target="https://ecoevorxiv.org/repository/view/11514/" TargetMode="External" /><Relationship Type="http://schemas.openxmlformats.org/officeDocument/2006/relationships/hyperlink" Id="rId66" Target="https://ecoevorxiv.org/repository/view/13495/" TargetMode="External" /><Relationship Type="http://schemas.openxmlformats.org/officeDocument/2006/relationships/hyperlink" Id="rId58"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2026-08-05T10:36:27Z</dcterms:created>
  <dcterms:modified xsi:type="dcterms:W3CDTF">2026-08-05T10:36:27Z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2026-08-05</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