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Realising food webs: downsampling assumptions propagate into dynamic extinction models</w:t>
      </w:r>
    </w:p>
    <w:p>
      <w:pPr>
        <w:pStyle w:val="Date"/>
      </w:pPr>
      <w:r>
        <w:t xml:space="preserve">2026-08-07</w:t>
      </w:r>
    </w:p>
    <w:p>
      <w:pPr>
        <w:pStyle w:val="AbstractTitle"/>
      </w:pPr>
      <w:r>
        <w:t xml:space="preserve">Abstract</w:t>
      </w:r>
    </w:p>
    <w:p>
      <w:pPr>
        <w:pStyle w:val="Abstract"/>
      </w:pPr>
      <w:r>
        <w:t xml:space="preserve">Dynamic food-web models require realised interaction networks, yet empirical data frequently describe regional metawebs containing many potential interactions that cannot occur simultaneously. Converting metawebs into realised networks is therefore an essential but often overlooked modelling step. Existing approaches implicitly assume different ecological mechanisms governing which interactions are realised, but the consequences of these assumptions remain largely unexplored. Here we compare four ecologically motivated downsampling approaches representing alternative hypotheses of interaction realisation. Using empirical metawebs, we generated ensembles of realised networks and examined how these assumptions influenced network topology, burn-in dynamics and extinction simulations under both topological and dynamical frameworks. Rather than identifying a single optimal downsampling procedure, our objective was to evaluate how alternative ecological assumptions propagate through subsequent analyses. Different realisation processes consistently produced distinct network structures and altered the behaviour of extinction models despite beginning from identical regional interaction pools. These results suggest that realised-network generation should be regarded as an explicit component of ecological modelling rather than a purely technical preprocessing step. As dynamic food-web models become increasingly common, uncertainty arising from assumptions about interaction realisation may be as important to ecological interpretation as the choice of dynamical model itself.</w:t>
      </w:r>
    </w:p>
    <w:bookmarkStart w:id="9" w:name="introduction"/>
    <w:p>
      <w:pPr>
        <w:pStyle w:val="Heading1"/>
      </w:pPr>
      <w:r>
        <w:t xml:space="preserve">1. Introduction</w:t>
      </w:r>
    </w:p>
    <w:p>
      <w:pPr>
        <w:pStyle w:val="FirstParagraph"/>
      </w:pPr>
      <w:r>
        <w:t xml:space="preserve">Ecological networks provide one of the most powerful frameworks for understanding how biodiversity is organised and how ecological communities respond to environmental change. Historically, food-web research focused largely on describing structural properties such as connectance, trophic organisation and degree distributions, revealing remarkably consistent patterns across ecosystems</w:t>
      </w:r>
      <w:r>
        <w:t xml:space="preserve"> </w:t>
      </w:r>
      <w:r>
        <w:t xml:space="preserve">(Williams &amp; Martinez, 2000)</w:t>
      </w:r>
      <w:r>
        <w:t xml:space="preserve">. Increasingly, however, the focus has shifted from describing network architecture to predicting ecological processes. Mechanistic dynamic food-web models now allow researchers to investigate community stability, biomass dynamics, extinction cascades and ecosystem responses to perturbation by explicitly simulating the transfer of energy through interacting species</w:t>
      </w:r>
      <w:r>
        <w:t xml:space="preserve"> </w:t>
      </w:r>
      <w:r>
        <w:t xml:space="preserve">(Brose et al., 2006; Curtsdotter et al., 2011; Delmas et al., 2017; Yodzis &amp; Innes, 1992)</w:t>
      </w:r>
      <w:r>
        <w:t xml:space="preserve">. These approaches represent an important advance over purely topological analyses because secondary extinctions emerge from ecological dynamics—including resource limitation, interaction strengths and feedbacks—rather than simply from the structural loss of trophic links. As a result, dynamic food-web models are increasingly used to address questions spanning conservation biology, ecosystem functioning and macroecological responses to environmental change.</w:t>
      </w:r>
    </w:p>
    <w:p>
      <w:pPr>
        <w:pStyle w:val="BodyText"/>
      </w:pPr>
      <w:r>
        <w:t xml:space="preserve">Despite these advances, the application of dynamic food-web models remains constrained by an often-overlooked problem: the ecological network used as the input to the model. Dynamic simulations require a realised interaction network representing the set of trophic interactions occurring simultaneously within a community. Broadly, three classes of input networks are available, each with distinct strengths and limitations. Synthetic networks (e.g. Cascade and Niche models) generate ecologically realistic topologies from theoretical rules but are not intended to represent specific communities</w:t>
      </w:r>
      <w:r>
        <w:t xml:space="preserve"> </w:t>
      </w:r>
      <w:r>
        <w:t xml:space="preserve">(Cohen et al., 1985; Williams &amp; Martinez, 2000)</w:t>
      </w:r>
      <w:r>
        <w:t xml:space="preserve">. Mechanistic approaches, such as the Allometric Diet Breadth Model (ADBM) or Allometric Trophic Networks (ATNs), infer interactions from biological traits including body size and energetics, but necessarily embed assumptions about the ecological processes governing interaction occurrence</w:t>
      </w:r>
      <w:r>
        <w:t xml:space="preserve"> </w:t>
      </w:r>
      <w:r>
        <w:t xml:space="preserve">(Brose et al., 2006; Petchey et al., 2008)</w:t>
      </w:r>
      <w:r>
        <w:t xml:space="preserve">. Finally, empirical networks are constructed from observed or predicted species interactions and therefore offer the greatest potential for community-specific inference, but often represent regional interaction pools rather than locally realised communities (see</w:t>
      </w:r>
      <w:r>
        <w:t xml:space="preserve"> </w:t>
      </w:r>
      <w:r>
        <w:t xml:space="preserve">Strydom, Dunhill, et al. (2026)</w:t>
      </w:r>
      <w:r>
        <w:t xml:space="preserve"> </w:t>
      </w:r>
      <w:r>
        <w:t xml:space="preserve">for a broader conceptual framework).</w:t>
      </w:r>
    </w:p>
    <w:p>
      <w:pPr>
        <w:pStyle w:val="BodyText"/>
      </w:pPr>
      <w:r>
        <w:t xml:space="preserve">Increasingly, ecologists instead have access to extensive empirical interaction datasets that describe real species and observed trophic interactions. Many of these datasets, however, represent regional interaction pools, or metawebs, compiled across multiple locations, seasons, sampling periods or studies</w:t>
      </w:r>
      <w:r>
        <w:t xml:space="preserve"> </w:t>
      </w:r>
      <w:r>
        <w:t xml:space="preserve">(Dunne, 2006; Strydom, Dunhill, et al., 2026)</w:t>
      </w:r>
      <w:r>
        <w:t xml:space="preserve">. Metawebs capture the set of interactions that are ecologically feasible within a region, but they typically include many interactions that could never occur simultaneously within a single local community. As such, they are often considerably more connected than realised ecological networks. While this makes metawebs invaluable representations of interaction potential, it also creates a fundamental mismatch with the assumptions of dynamic food-web models, which require networks describing co-occurring species and simultaneously realised interactions.</w:t>
      </w:r>
    </w:p>
    <w:p>
      <w:pPr>
        <w:pStyle w:val="BodyText"/>
      </w:pPr>
      <w:r>
        <w:t xml:space="preserve">Bridging this gap requires an additional modelling step: transforming a feasible regional interaction network into one or more ecologically plausible realised communities. Here we use the term network realisation to describe this process. Importantly, network realisation is not simply a computational exercise in reducing connectance. Every realisation procedure implicitly represents a hypothesis regarding the ecological processes governing interaction occurrence. Random sampling assumes that interactions are realised independently of network structure; degree-based approaches assume that highly connected species are more likely to retain interactions; niche-constrained approaches preserve trophic organisation; and other methods may encode assumptions regarding energetic constraints or species abundances. In this sense, realised-network generation constitutes an ecological model in its own right, introducing structural assumptions before any population dynamics are simulated.</w:t>
      </w:r>
    </w:p>
    <w:p>
      <w:pPr>
        <w:pStyle w:val="BodyText"/>
      </w:pPr>
      <w:r>
        <w:t xml:space="preserve">These assumptions are likely to propagate throughout the modelling pipeline. Once a realised network has been generated, dynamic models typically undergo a burn-in period during which biomass redistributes and species unable to persist under the chosen dynamical formulation are lost. This burn-in represents a second filtering process, determining which structurally feasible communities are dynamically viable under the assumptions of the selected ecological model. Only after these successive stages of network realisation and dynamical filtering are perturbations, such as species removals or environmental change, imposed. Consequently, ecological inference derived from dynamic food-web simulations is conditioned not only by the chosen dynamical model but also by assumptions introduced during network construction and community realisation.</w:t>
      </w:r>
    </w:p>
    <w:p>
      <w:pPr>
        <w:pStyle w:val="BodyText"/>
      </w:pPr>
      <w:r>
        <w:t xml:space="preserve">Here we investigate whether alternative approaches to network realisation influence subsequent ecological inference. Using empirical metawebs, we generate ensembles of realised food webs using four ecologically motivated downsampling algorithms representing contrasting hypotheses of interaction realisation. We then evaluate how these assumptions influence network topology, dynamical burn-in and extinction simulations. Our objective is not to identify an optimal downsampling algorithm, nor to suggest that any single approach provides the</w:t>
      </w:r>
      <w:r>
        <w:t xml:space="preserve"> </w:t>
      </w:r>
      <w:r>
        <w:t xml:space="preserve">‘correct’</w:t>
      </w:r>
      <w:r>
        <w:t xml:space="preserve"> </w:t>
      </w:r>
      <w:r>
        <w:t xml:space="preserve">realised community. Rather, we present network realisation as a proof of concept for integrating empirical metawebs into dynamic food-web models while demonstrating that the assumptions embedded within this step remain detectable throughout the modelling process. As dynamic ecological modelling becomes increasingly central to predicting community responses to environmental change, recognising network realisation as an explicit source of model uncertainty may prove as important as selecting the dynamical model itself.</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End w:id="10"/>
    <w:bookmarkStart w:id="11" w:name="network-construction"/>
    <w:p>
      <w:pPr>
        <w:pStyle w:val="Heading2"/>
      </w:pPr>
      <w:r>
        <w:t xml:space="preserve">2.2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11"/>
    <w:bookmarkStart w:id="16" w:name="downsampling-approaches"/>
    <w:p>
      <w:pPr>
        <w:pStyle w:val="Heading2"/>
      </w:pPr>
      <w:r>
        <w:t xml:space="preserve">2.3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r>
            <m:rPr>
              <m:sty m:val="p"/>
            </m:rPr>
            <m:t>.</m:t>
          </m:r>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r>
            <m:rPr>
              <m:sty m:val="p"/>
            </m:rPr>
            <m:t>,</m:t>
          </m:r>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r>
            <m:rPr>
              <m:sty m:val="p"/>
            </m:rPr>
            <m:t>,</m:t>
          </m:r>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r>
            <m:rPr>
              <m:sty m:val="p"/>
            </m:rPr>
            <m:t>,</m:t>
          </m:r>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r>
            <m:rPr>
              <m:sty m:val="p"/>
            </m:rPr>
            <m:t>,</m:t>
          </m:r>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r>
            <m:rPr>
              <m:sty m:val="p"/>
            </m:rPr>
            <m:t>.</m:t>
          </m:r>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r>
            <m:rPr>
              <m:sty m:val="p"/>
            </m:rPr>
            <m:t>,</m:t>
          </m:r>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r>
            <m:rPr>
              <m:sty m:val="p"/>
            </m:rPr>
            <m:t>,</m:t>
          </m:r>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r>
            <m:rPr>
              <m:sty m:val="p"/>
            </m:rPr>
            <m:t>.</m:t>
          </m:r>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r>
            <m:rPr>
              <m:sty m:val="p"/>
            </m:rPr>
            <m:t>,</m:t>
          </m:r>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r>
            <m:rPr>
              <m:sty m:val="p"/>
            </m:rPr>
            <m:t>,</m:t>
          </m:r>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Simulations terminated early if a dynamical equilibrium was reached.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model explained 31.8% of total topology variation (adjusted</w:t>
      </w:r>
      <w:r>
        <w:t xml:space="preserve"> </w:t>
      </w:r>
      <w:r>
        <w:rPr>
          <w:i/>
          <w:iCs/>
        </w:rPr>
        <w:t xml:space="preserve">R</w:t>
      </w:r>
      <w:r>
        <w:t xml:space="preserve">² =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as connectance declined.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5334000"/>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connectance gradient after accounting for community-level variation. (B) Estimated slopes (±95% confidence intervals) describing the relationship between the primary RDA axis and connectance change for each downsampling approach; letters denote post-hoc groupings from estimated marginal trend comparisons. (C) Principal component trajectories illustrating structural change between network creation and burn-in for each downsampling approach. (D) Mean Euclidean displacement through PCA space during burn-in (±95% confidence intervals); letters indicate pairwise differences among network types from estimated marginal means. Networks sharing the same letter are not significantly different.</w:t>
            </w:r>
          </w:p>
          <w:bookmarkEnd w:id="23"/>
        </w:tc>
      </w:tr>
    </w:tbl>
    <w:p>
      <w:pPr>
        <w:pStyle w:val="BodyText"/>
      </w:pPr>
      <w:r>
        <w:t xml:space="preserve">To identify the source of this interaction, the response of the primary RDA axis was examined across the connectance gradient. RDA1 was strongly associated with connectance change (</w:t>
      </w:r>
      <m:oMath>
        <m:sSub>
          <m:e>
            <m:r>
              <m:t>F</m:t>
            </m:r>
          </m:e>
          <m:sub>
            <m:r>
              <m:t>1</m:t>
            </m:r>
            <m:r>
              <m:rPr>
                <m:sty m:val="p"/>
              </m:rPr>
              <m:t>,</m:t>
            </m:r>
            <m:r>
              <m:t>712</m:t>
            </m:r>
          </m:sub>
        </m:sSub>
      </m:oMath>
      <w:r>
        <w:t xml:space="preserve"> </w:t>
      </w:r>
      <w:r>
        <w:t xml:space="preserve">= 2076.86,</w:t>
      </w:r>
      <w:r>
        <w:t xml:space="preserve"> </w:t>
      </w:r>
      <m:oMath>
        <m:r>
          <m:t>p</m:t>
        </m:r>
      </m:oMath>
      <w:r>
        <w:t xml:space="preserve"> </w:t>
      </w:r>
      <w:r>
        <w:t xml:space="preserve">&lt; 0.001), with additional effects of downsampling approach (</w:t>
      </w:r>
      <m:oMath>
        <m:sSub>
          <m:e>
            <m:r>
              <m:t>F</m:t>
            </m:r>
          </m:e>
          <m:sub>
            <m:r>
              <m:t>3</m:t>
            </m:r>
            <m:r>
              <m:rPr>
                <m:sty m:val="p"/>
              </m:rPr>
              <m:t>,</m:t>
            </m:r>
            <m:r>
              <m:t>712</m:t>
            </m:r>
          </m:sub>
        </m:sSub>
      </m:oMath>
      <w:r>
        <w:t xml:space="preserve"> </w:t>
      </w:r>
      <w:r>
        <w:t xml:space="preserve">= 33.28,</w:t>
      </w:r>
      <w:r>
        <w:t xml:space="preserve"> </w:t>
      </w:r>
      <m:oMath>
        <m:r>
          <m:t>p</m:t>
        </m:r>
      </m:oMath>
      <w:r>
        <w:t xml:space="preserve"> </w:t>
      </w:r>
      <w:r>
        <w:t xml:space="preserve">&lt; 0.001) and a significant downsampling approach</w:t>
      </w:r>
      <w:r>
        <w:t xml:space="preserve"> </w:t>
      </w:r>
      <m:oMath>
        <m:r>
          <m:rPr>
            <m:sty m:val="p"/>
          </m:rPr>
          <m:t>×</m:t>
        </m:r>
      </m:oMath>
      <w:r>
        <w:t xml:space="preserve"> </w:t>
      </w:r>
      <w:r>
        <w:t xml:space="preserve">connectance change interaction (</w:t>
      </w:r>
      <m:oMath>
        <m:sSub>
          <m:e>
            <m:r>
              <m:t>F</m:t>
            </m:r>
          </m:e>
          <m:sub>
            <m:r>
              <m:t>3</m:t>
            </m:r>
            <m:r>
              <m:rPr>
                <m:sty m:val="p"/>
              </m:rPr>
              <m:t>,</m:t>
            </m:r>
            <m:r>
              <m:t>712</m:t>
            </m:r>
          </m:sub>
        </m:sSub>
      </m:oMath>
      <w:r>
        <w:t xml:space="preserve"> </w:t>
      </w:r>
      <w:r>
        <w:t xml:space="preserve">= 4.81,</w:t>
      </w:r>
      <w:r>
        <w:t xml:space="preserve"> </w:t>
      </w:r>
      <m:oMath>
        <m:r>
          <m:t>p</m:t>
        </m:r>
      </m:oMath>
      <w:r>
        <w:t xml:space="preserve"> </w:t>
      </w:r>
      <w:r>
        <w:t xml:space="preserve">= 0.003). Pairwise comparisons of estimated trajectory slopes showed that link-based downsampling followed a distinct trajectory, differing from niche-, power-, and random-based downsampling, whereas the latter three approaches exhibited statistically indistinguishable responses (</w:t>
      </w:r>
      <w:hyperlink w:anchor="fig-downsample">
        <w:r>
          <w:rPr>
            <w:rStyle w:val="Hyperlink"/>
          </w:rPr>
          <w:t xml:space="preserve">Figure 1</w:t>
        </w:r>
      </w:hyperlink>
      <w:r>
        <w:t xml:space="preserve">, panel B). These results indicate that all downsampling methods alter network topology as connectance declines, but that removing interactions according to their realised connectivity produces a fundamentally different pathway of structural change from approaches that incorporate species-level ecological information or random link loss.</w:t>
      </w:r>
    </w:p>
    <w:p>
      <w:pPr>
        <w:pStyle w:val="BodyText"/>
      </w:pPr>
      <w:r>
        <w:t xml:space="preserve">We next asked whether these structurally distinct networks responded differently during dynamic burn-in.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niche-, power-, and link-based approaches underwent comparable structural change during burn-in, while random downsampling showed a modestly greater displacement (</w:t>
      </w:r>
      <w:hyperlink w:anchor="fig-downsample">
        <w:r>
          <w:rPr>
            <w:rStyle w:val="Hyperlink"/>
          </w:rPr>
          <w:t xml:space="preserve">Figure 1</w:t>
        </w:r>
      </w:hyperlink>
      <w:r>
        <w:t xml:space="preserve">, panels C–D).</w:t>
      </w:r>
    </w:p>
    <w:p>
      <w:pPr>
        <w:pStyle w:val="BodyText"/>
      </w:pPr>
      <w:r>
        <w:t xml:space="preserve">Together, these analyses demonstrate that downsampling approach influences network topology both during network construction and subsequent dynamic relaxation. Differences among downsampling methods become increasingly pronounced as greater proportions of interactions are removed, consistent with the expectation that the ecological assumptions underlying each removal strategy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In contrast, random downsampling remained distinct throughout burn-in, consistent with its lack of an underlying ecological mechanism governing interaction removal. This suggests that the ecologically informed downsampling on metawebs allows us to produce networks whose subsequent structural dynamics more closely resemble those of the niche model.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p>
    <w:bookmarkEnd w:id="24"/>
    <w:bookmarkStart w:id="29"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in all four extinction scenarios (low-to-high biomass:</w:t>
      </w:r>
      <w:r>
        <w:t xml:space="preserve"> </w:t>
      </w:r>
      <m:oMath>
        <m:sSub>
          <m:e>
            <m:r>
              <m:t>F</m:t>
            </m:r>
          </m:e>
          <m:sub>
            <m:r>
              <m:t>6</m:t>
            </m:r>
            <m:r>
              <m:rPr>
                <m:sty m:val="p"/>
              </m:rPr>
              <m:t>,</m:t>
            </m:r>
            <m:r>
              <m:t>1248</m:t>
            </m:r>
          </m:sub>
        </m:sSub>
      </m:oMath>
      <w:r>
        <w:t xml:space="preserve"> </w:t>
      </w:r>
      <w:r>
        <w:t xml:space="preserve">= 22.3,</w:t>
      </w:r>
      <w:r>
        <w:t xml:space="preserve"> </w:t>
      </w:r>
      <m:oMath>
        <m:r>
          <m:t>p</m:t>
        </m:r>
      </m:oMath>
      <w:r>
        <w:t xml:space="preserve">&lt;0.001; high-to-low biomass:</w:t>
      </w:r>
      <w:r>
        <w:t xml:space="preserve"> </w:t>
      </w:r>
      <m:oMath>
        <m:sSub>
          <m:e>
            <m:r>
              <m:t>F</m:t>
            </m:r>
          </m:e>
          <m:sub>
            <m:r>
              <m:t>6</m:t>
            </m:r>
            <m:r>
              <m:rPr>
                <m:sty m:val="p"/>
              </m:rPr>
              <m:t>,</m:t>
            </m:r>
            <m:r>
              <m:t>1248</m:t>
            </m:r>
          </m:sub>
        </m:sSub>
      </m:oMath>
      <w:r>
        <w:t xml:space="preserve"> </w:t>
      </w:r>
      <w:r>
        <w:t xml:space="preserve">= 46.7,</w:t>
      </w:r>
      <w:r>
        <w:t xml:space="preserve"> </w:t>
      </w:r>
      <m:oMath>
        <m:r>
          <m:t>p</m:t>
        </m:r>
      </m:oMath>
      <w:r>
        <w:t xml:space="preserve">&lt;0.001; random basal:</w:t>
      </w:r>
      <w:r>
        <w:t xml:space="preserve"> </w:t>
      </w:r>
      <m:oMath>
        <m:sSub>
          <m:e>
            <m:r>
              <m:t>F</m:t>
            </m:r>
          </m:e>
          <m:sub>
            <m:r>
              <m:t>6</m:t>
            </m:r>
            <m:r>
              <m:rPr>
                <m:sty m:val="p"/>
              </m:rPr>
              <m:t>,</m:t>
            </m:r>
            <m:r>
              <m:t>1248</m:t>
            </m:r>
          </m:sub>
        </m:sSub>
      </m:oMath>
      <w:r>
        <w:t xml:space="preserve"> </w:t>
      </w:r>
      <w:r>
        <w:t xml:space="preserve">= 109.0,</w:t>
      </w:r>
      <w:r>
        <w:t xml:space="preserve"> </w:t>
      </w:r>
      <m:oMath>
        <m:r>
          <m:t>p</m:t>
        </m:r>
      </m:oMath>
      <w:r>
        <w:t xml:space="preserve">&lt;0.001; random consumer:</w:t>
      </w:r>
      <w:r>
        <w:t xml:space="preserve"> </w:t>
      </w:r>
      <m:oMath>
        <m:sSub>
          <m:e>
            <m:r>
              <m:t>F</m:t>
            </m:r>
          </m:e>
          <m:sub>
            <m:r>
              <m:t>6</m:t>
            </m:r>
            <m:r>
              <m:rPr>
                <m:sty m:val="p"/>
              </m:rPr>
              <m:t>,</m:t>
            </m:r>
            <m:r>
              <m:t>1248</m:t>
            </m:r>
          </m:sub>
        </m:sSub>
      </m:oMath>
      <w:r>
        <w:t xml:space="preserve"> </w:t>
      </w:r>
      <w:r>
        <w:t xml:space="preserve">= 22.9,</w:t>
      </w:r>
      <w:r>
        <w:t xml:space="preserve"> </w:t>
      </w:r>
      <m:oMath>
        <m:r>
          <m:t>p</m:t>
        </m:r>
      </m:oMath>
      <w:r>
        <w:t xml:space="preserve">&lt;0.001),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simulations inferred greater robustness than dynamic simulations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link- and power-downsampled networks exhibiting slightly positive values of</w:t>
      </w:r>
      <w:r>
        <w:t xml:space="preserve"> </w:t>
      </w:r>
      <m:oMath>
        <m:r>
          <m:rPr>
            <m:sty m:val="p"/>
          </m:rPr>
          <m:t>Δ</m:t>
        </m:r>
        <m:sSub>
          <m:e>
            <m:r>
              <m:t>R</m:t>
            </m:r>
          </m:e>
          <m:sub>
            <m:r>
              <m:t>50</m:t>
            </m:r>
          </m:sub>
        </m:sSub>
      </m:oMath>
      <w:r>
        <w:t xml:space="preserve"> </w:t>
      </w:r>
      <w:r>
        <w:t xml:space="preserve">and random downsampled networks showing little difference between the two approaches, whereas niche-derived networks retained lower dynamic than topological robustness. Thus, the conclusion that topological analyses provide more conservative estimates of robustness was not universal, but remained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5614736"/>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5614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(A) Estimated robustness (</w:t>
            </w:r>
            <m:oMath>
              <m:sSub>
                <m:e>
                  <m:r>
                    <m:t>R</m:t>
                  </m:r>
                </m:e>
                <m:sub>
                  <m:r>
                    <m:t>50</m:t>
                  </m:r>
                </m:sub>
              </m:sSub>
            </m:oMath>
            <w:r>
              <w:t xml:space="preserve">) of realised networks under topological (green) and dynamic (yellow) extinction simulations across network types and extinction scenarios. Points represent mean robustness values, with connecting lines highlighting the consistent reduction in robustness estimates when extinction cascades are evaluated dynamically. (B) Difference between dynamic and topological robustness estimates (</w:t>
            </w:r>
            <m:oMath>
              <m:r>
                <m:rPr>
                  <m:sty m:val="p"/>
                </m:rPr>
                <m:t>Δ</m:t>
              </m:r>
              <m:sSub>
                <m:e>
                  <m:r>
                    <m:t>R</m:t>
                  </m:r>
                </m:e>
                <m:sub>
                  <m:r>
                    <m:t>50</m:t>
                  </m:r>
                </m:sub>
              </m:sSub>
              <m:r>
                <m:rPr>
                  <m:sty m:val="p"/>
                </m:rPr>
                <m:t>=</m:t>
              </m:r>
              <m:sSub>
                <m:e>
                  <m:r>
                    <m:t>R</m:t>
                  </m:r>
                </m:e>
                <m:sub>
                  <m:r>
                    <m:t>50</m:t>
                  </m:r>
                  <m:r>
                    <m:rPr>
                      <m:sty m:val="p"/>
                    </m:rPr>
                    <m:t>,</m:t>
                  </m:r>
                  <m:r>
                    <m:t>d</m:t>
                  </m:r>
                  <m:r>
                    <m:t>y</m:t>
                  </m:r>
                  <m:r>
                    <m:t>n</m:t>
                  </m:r>
                  <m:r>
                    <m:t>a</m:t>
                  </m:r>
                  <m:r>
                    <m:t>m</m:t>
                  </m:r>
                  <m:r>
                    <m:t>i</m:t>
                  </m:r>
                  <m:r>
                    <m:t>c</m:t>
                  </m:r>
                </m:sub>
              </m:sSub>
              <m:r>
                <m:rPr>
                  <m:sty m:val="p"/>
                </m:rPr>
                <m:t>−</m:t>
              </m:r>
              <m:sSub>
                <m:e>
                  <m:r>
                    <m:t>R</m:t>
                  </m:r>
                </m:e>
                <m:sub>
                  <m:r>
                    <m:t>50</m:t>
                  </m:r>
                  <m:r>
                    <m:rPr>
                      <m:sty m:val="p"/>
                    </m:rPr>
                    <m:t>,</m:t>
                  </m:r>
                  <m:r>
                    <m:t>t</m:t>
                  </m:r>
                  <m:r>
                    <m:t>o</m:t>
                  </m:r>
                  <m:r>
                    <m:t>p</m:t>
                  </m:r>
                  <m:r>
                    <m:t>o</m:t>
                  </m:r>
                  <m:r>
                    <m:t>l</m:t>
                  </m:r>
                  <m:r>
                    <m:t>o</m:t>
                  </m:r>
                  <m:r>
                    <m:t>g</m:t>
                  </m:r>
                  <m:r>
                    <m:t>i</m:t>
                  </m:r>
                  <m:r>
                    <m:t>c</m:t>
                  </m:r>
                  <m:r>
                    <m:t>a</m:t>
                  </m:r>
                  <m:r>
                    <m:t>l</m:t>
                  </m:r>
                </m:sub>
              </m:sSub>
            </m:oMath>
            <w:r>
              <w:t xml:space="preserve">) for each network type. Negative values indicate that dynamic simulations produce lower inferred robustness than topological simulations. Bars show estimated marginal means from linear models accounting for differences among empirical communities; letters indicate significant differences among network types based on Sidak-adjusted pairwise comparisons.</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bookmarkEnd w:id="29"/>
    <w:bookmarkStart w:id="38" w:name="Xc8e272c73ad6d078d0b8da4135f7ccd680d80a5"/>
    <w:p>
      <w:pPr>
        <w:pStyle w:val="Heading1"/>
      </w:pPr>
      <w:r>
        <w:t xml:space="preserve">5. Downsampling and burn-in alter inferred topological robustness</w:t>
      </w:r>
    </w:p>
    <w:p>
      <w:pPr>
        <w:pStyle w:val="BlockText"/>
      </w:pPr>
      <w:r>
        <w:t xml:space="preserve">this is probably destined as a supp matt exercise</w:t>
      </w:r>
    </w:p>
    <w:p>
      <w:pPr>
        <w:pStyle w:val="FirstParagraph"/>
      </w:pPr>
      <w:r>
        <w:t xml:space="preserve">To determine how ecological assumptions underlying downsampling influence emergent robustness, we examined how differences in robustness between downsampled networks and three reference</w:t>
      </w:r>
      <w:r>
        <w:t xml:space="preserve"> </w:t>
      </w:r>
      <w:r>
        <w:t xml:space="preserve">‘states’</w:t>
      </w:r>
      <w:r>
        <w:t xml:space="preserve"> </w:t>
      </w:r>
      <w:r>
        <w:t xml:space="preserve">(metaweb, ATN, and niche model) changed with increasing degree of downsampling (</w:t>
      </w:r>
      <m:oMath>
        <m:sSub>
          <m:e>
            <m:r>
              <m:rPr>
                <m:sty m:val="p"/>
              </m:rPr>
              <m:t>Δ</m:t>
            </m:r>
          </m:e>
          <m:sub>
            <m:r>
              <m:t>c</m:t>
            </m:r>
            <m:r>
              <m:t>o</m:t>
            </m:r>
            <m:r>
              <m:t>n</m:t>
            </m:r>
            <m:r>
              <m:t>n</m:t>
            </m:r>
            <m:r>
              <m:t>e</m:t>
            </m:r>
            <m:r>
              <m:t>c</m:t>
            </m:r>
            <m:r>
              <m:t>t</m:t>
            </m:r>
            <m:r>
              <m:t>a</m:t>
            </m:r>
            <m:r>
              <m:t>n</m:t>
            </m:r>
            <m:r>
              <m:t>c</m:t>
            </m:r>
            <m:r>
              <m:t>e</m:t>
            </m:r>
          </m:sub>
        </m:sSub>
      </m:oMath>
      <w:r>
        <w:t xml:space="preserve">). As the degree of downsampling increased, robustness trajectories increasingly diverged from the original metaweb, but the direction of this divergence depended on both the ecological mechanism used to remove interactions and the extinction scenario considered (Panel A;</w:t>
      </w:r>
      <w:r>
        <w:t xml:space="preserve"> </w:t>
      </w:r>
      <w:hyperlink w:anchor="fig-robDownsample">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robDownsample"/>
          <w:p>
            <w:pPr>
              <w:pStyle w:val="Compact"/>
              <w:jc w:val="center"/>
            </w:pPr>
            <w:r>
              <w:drawing>
                <wp:inline>
                  <wp:extent cx="5334000" cy="5614736"/>
                  <wp:effectExtent b="0" l="0" r="0" t="0"/>
                  <wp:docPr descr="" title="" id="31" name="Picture"/>
                  <a:graphic>
                    <a:graphicData uri="http://schemas.openxmlformats.org/drawingml/2006/picture">
                      <pic:pic>
                        <pic:nvPicPr>
                          <pic:cNvPr descr="figures/robustnessDownsampling.png" id="32" name="Picture"/>
                          <pic:cNvPicPr>
                            <a:picLocks noChangeArrowheads="1" noChangeAspect="1"/>
                          </pic:cNvPicPr>
                        </pic:nvPicPr>
                        <pic:blipFill>
                          <a:blip r:embed="rId30"/>
                          <a:stretch>
                            <a:fillRect/>
                          </a:stretch>
                        </pic:blipFill>
                        <pic:spPr bwMode="auto">
                          <a:xfrm>
                            <a:off x="0" y="0"/>
                            <a:ext cx="5334000" cy="5614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TODO.</w:t>
            </w:r>
          </w:p>
          <w:bookmarkEnd w:id="33"/>
        </w:tc>
      </w:tr>
    </w:tbl>
    <w:p>
      <w:pPr>
        <w:pStyle w:val="BodyText"/>
      </w:pPr>
      <w:r>
        <w:t xml:space="preserve">Under body-mass ordered extinction, reductions in connectance produced increasingly divergent robustness responses relative to the metaweb, while trajectories relative to the niche and ATN reference states were weaker and more variable. This pattern was reflected in a strong interaction between connectance reduction and reference state (</w:t>
      </w:r>
      <m:oMath>
        <m:sSup>
          <m:e>
            <m:r>
              <m:t>χ</m:t>
            </m:r>
          </m:e>
          <m:sup>
            <m:r>
              <m:t>2</m:t>
            </m:r>
          </m:sup>
        </m:sSup>
      </m:oMath>
      <w:r>
        <w:t xml:space="preserve"> </w:t>
      </w:r>
      <w:r>
        <w:t xml:space="preserve">= 384,</w:t>
      </w:r>
      <w:r>
        <w:t xml:space="preserve"> </w:t>
      </w:r>
      <m:oMath>
        <m:r>
          <m:t>p</m:t>
        </m:r>
      </m:oMath>
      <w:r>
        <w:t xml:space="preserve"> </w:t>
      </w:r>
      <w:r>
        <w:t xml:space="preserve">&lt; 0.001). Similar reference-dependent trajectories occurred under degree-based extinction (</w:t>
      </w:r>
      <m:oMath>
        <m:sSub>
          <m:e>
            <m:r>
              <m:rPr>
                <m:sty m:val="p"/>
              </m:rPr>
              <m:t>Δ</m:t>
            </m:r>
          </m:e>
          <m:sub>
            <m:r>
              <m:t>c</m:t>
            </m:r>
            <m:r>
              <m:t>o</m:t>
            </m:r>
            <m:r>
              <m:t>n</m:t>
            </m:r>
            <m:r>
              <m:t>n</m:t>
            </m:r>
            <m:r>
              <m:t>e</m:t>
            </m:r>
            <m:r>
              <m:t>c</m:t>
            </m:r>
            <m:r>
              <m:t>t</m:t>
            </m:r>
            <m:r>
              <m:t>a</m:t>
            </m:r>
            <m:r>
              <m:t>n</m:t>
            </m:r>
            <m:r>
              <m:t>c</m:t>
            </m:r>
            <m:r>
              <m:t>e</m:t>
            </m:r>
          </m:sub>
        </m:sSub>
      </m:oMath>
      <w:r>
        <w:t xml:space="preserve"> </w:t>
      </w:r>
      <m:oMath>
        <m:r>
          <m:rPr>
            <m:sty m:val="p"/>
          </m:rPr>
          <m:t>×</m:t>
        </m:r>
      </m:oMath>
      <w:r>
        <w:t xml:space="preserve"> </w:t>
      </w:r>
      <w:r>
        <w:t xml:space="preserve">reference</w:t>
      </w:r>
      <w:r>
        <w:t xml:space="preserve"> </w:t>
      </w:r>
      <m:oMath>
        <m:r>
          <m:rPr>
            <m:sty m:val="p"/>
          </m:rPr>
          <m:t>×</m:t>
        </m:r>
      </m:oMath>
      <w:r>
        <w:t xml:space="preserve"> </w:t>
      </w:r>
      <w:r>
        <w:t xml:space="preserve">downsampling approach:</w:t>
      </w:r>
      <w:r>
        <w:t xml:space="preserve"> </w:t>
      </w:r>
      <m:oMath>
        <m:sSup>
          <m:e>
            <m:r>
              <m:t>χ</m:t>
            </m:r>
          </m:e>
          <m:sup>
            <m:r>
              <m:t>2</m:t>
            </m:r>
          </m:sup>
        </m:sSup>
      </m:oMath>
      <w:r>
        <w:t xml:space="preserve"> </w:t>
      </w:r>
      <w:r>
        <w:t xml:space="preserve">= 98.7,</w:t>
      </w:r>
      <w:r>
        <w:t xml:space="preserve"> </w:t>
      </w:r>
      <m:oMath>
        <m:r>
          <m:t>p</m:t>
        </m:r>
      </m:oMath>
      <w:r>
        <w:t xml:space="preserve"> </w:t>
      </w:r>
      <w:r>
        <w:t xml:space="preserve">&lt; 0.001) and random consumer removal (</w:t>
      </w:r>
      <m:oMath>
        <m:sSup>
          <m:e>
            <m:r>
              <m:t>χ</m:t>
            </m:r>
          </m:e>
          <m:sup>
            <m:r>
              <m:t>2</m:t>
            </m:r>
          </m:sup>
        </m:sSup>
      </m:oMath>
      <w:r>
        <w:t xml:space="preserve"> </w:t>
      </w:r>
      <w:r>
        <w:t xml:space="preserve">= 22.1,</w:t>
      </w:r>
      <w:r>
        <w:t xml:space="preserve"> </w:t>
      </w:r>
      <m:oMath>
        <m:r>
          <m:t>p</m:t>
        </m:r>
      </m:oMath>
      <w:r>
        <w:t xml:space="preserve"> </w:t>
      </w:r>
      <w:r>
        <w:t xml:space="preserve">= 0.001), whereas random basal removal showed little evidence that the mechanism of downsampling altered robustness trajectories (</w:t>
      </w:r>
      <m:oMath>
        <m:sSup>
          <m:e>
            <m:r>
              <m:t>χ</m:t>
            </m:r>
          </m:e>
          <m:sup>
            <m:r>
              <m:t>2</m:t>
            </m:r>
          </m:sup>
        </m:sSup>
      </m:oMath>
      <w:r>
        <w:t xml:space="preserve"> </w:t>
      </w:r>
      <w:r>
        <w:t xml:space="preserve">= 0.54,</w:t>
      </w:r>
      <w:r>
        <w:t xml:space="preserve"> </w:t>
      </w:r>
      <m:oMath>
        <m:r>
          <m:t>p</m:t>
        </m:r>
      </m:oMath>
      <w:r>
        <w:t xml:space="preserve"> </w:t>
      </w:r>
      <w:r>
        <w:t xml:space="preserve">= 0.997)</w:t>
      </w:r>
    </w:p>
    <w:p>
      <w:pPr>
        <w:pStyle w:val="BodyText"/>
      </w:pPr>
      <w:r>
        <w:t xml:space="preserve">Interestingly, burn-in further modified the relationship between downsampled networks and realised reference states. Comparison of robustness before and after burn-in showed that the process of dynamic modelling altered the magnitude and direction of divergence between downsampled networks and the metaweb, ATN, and niche references (Panel B</w:t>
      </w:r>
      <w:r>
        <w:t xml:space="preserve"> </w:t>
      </w:r>
      <w:hyperlink w:anchor="fig-robDownsample">
        <w:r>
          <w:rPr>
            <w:rStyle w:val="Hyperlink"/>
          </w:rPr>
          <w:t xml:space="preserve">Figure 3</w:t>
        </w:r>
      </w:hyperlink>
      <w:r>
        <w:t xml:space="preserve">). Thus, the ecological assumptions imposed during downsampling do not fully determine the final properties of a realised network; subsequent dynamical processes provide an additional filter that can either reinforce or reduce differences among reconstruction approaches.</w:t>
      </w:r>
    </w:p>
    <w:p>
      <w:pPr>
        <w:pStyle w:val="BodyText"/>
      </w:pPr>
      <w:r>
        <w:t xml:space="preserve">Together, these results demonstrate that reducing the connectance of a metaweb alone does not determine how inferred robustness changes; rather, the ecological assumptions governing which interactions are retained determine which structural properties of the metaweb are preserved and which are lost. As more links are removed the downsampling approach increasingly imposes these assumptions, different downsampling approaches produce distinct robustness trajectories, with the magnitude of these differences depending on the extinction scenario considered. Furthermore, dynamic burn-in modifies these relationships, demonstrating that the robustness of a reconstructed network at creation does not necessarily represent the robustness of the dynamically realised community. Therefore, conclusions drawn from extinction simulations depend not only on the extinction mechanism itself, but also on the ecological assumptions used to translate potential interactions within a metaweb into realised network structure.</w:t>
      </w:r>
    </w:p>
    <w:p>
      <w:pPr>
        <w:pStyle w:val="BodyText"/>
      </w:pPr>
      <w:r>
        <w:t xml:space="preserve"># Dynamic extinctions re-enforce ecological assumptions</w:t>
      </w:r>
    </w:p>
    <w:p>
      <w:pPr>
        <w:pStyle w:val="BodyText"/>
      </w:pPr>
      <w:r>
        <w:t xml:space="preserve">To evaluate how interaction filtering influences dynamic behavior, we calculated pairwise contrasts of inferred robustness (</w:t>
      </w:r>
      <m:oMath>
        <m:sSub>
          <m:e>
            <m:r>
              <m:t>R</m:t>
            </m:r>
          </m:e>
          <m:sub>
            <m:r>
              <m:t>50</m:t>
            </m:r>
          </m:sub>
        </m:sSub>
      </m:oMath>
      <w:r>
        <w:t xml:space="preserve">) across all combinations of community, extinction mechanism, and network type. In aggregate, topological extinctions (evaluated both at network creation and after dynamic burn-in (realisation)) yielded consistent robustness estimates across all empirically derived networks (</w:t>
      </w:r>
      <w:hyperlink w:anchor="fig-robDynamic">
        <w:r>
          <w:rPr>
            <w:rStyle w:val="Hyperlink"/>
          </w:rPr>
          <w:t xml:space="preserve">Figure 4</w:t>
        </w:r>
      </w:hyperlink>
      <w:r>
        <w:t xml:space="preserve">, left column). This structural cohesion was further reflected in hierarchical clustering, where empirically derived networks consistently formed a distinct cluster separate from the two synthetic benchmark networks (niche model and ATN;</w:t>
      </w:r>
      <w:r>
        <w:t xml:space="preserve"> </w:t>
      </w:r>
      <w:hyperlink w:anchor="fig-robDynamic">
        <w:r>
          <w:rPr>
            <w:rStyle w:val="Hyperlink"/>
          </w:rPr>
          <w:t xml:space="preserve">Figure 4</w:t>
        </w:r>
      </w:hyperlink>
      <w:r>
        <w:t xml:space="preserve">, right column).</w:t>
      </w:r>
    </w:p>
    <w:tbl>
      <w:tblPr>
        <w:tblStyle w:val="Table"/>
        <w:tblW w:type="pct" w:w="5000"/>
        <w:tblLayout w:type="fixed"/>
        <w:tblLook w:firstRow="0" w:lastRow="0" w:firstColumn="0" w:lastColumn="0" w:noHBand="0" w:noVBand="0" w:val="0000"/>
      </w:tblPr>
      <w:tblGrid>
        <w:gridCol w:w="7920"/>
      </w:tblGrid>
      <w:tr>
        <w:tc>
          <w:tcPr/>
          <w:bookmarkStart w:id="37" w:name="fig-robDynamic"/>
          <w:p>
            <w:pPr>
              <w:pStyle w:val="Compact"/>
              <w:jc w:val="center"/>
            </w:pPr>
            <w:r>
              <w:drawing>
                <wp:inline>
                  <wp:extent cx="5334000" cy="6400800"/>
                  <wp:effectExtent b="0" l="0" r="0" t="0"/>
                  <wp:docPr descr="" title="" id="35" name="Picture"/>
                  <a:graphic>
                    <a:graphicData uri="http://schemas.openxmlformats.org/drawingml/2006/picture">
                      <pic:pic>
                        <pic:nvPicPr>
                          <pic:cNvPr descr="figures/robustnessHighLevel.png" id="36" name="Picture"/>
                          <pic:cNvPicPr>
                            <a:picLocks noChangeArrowheads="1" noChangeAspect="1"/>
                          </pic:cNvPicPr>
                        </pic:nvPicPr>
                        <pic:blipFill>
                          <a:blip r:embed="rId34"/>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TODO</w:t>
            </w:r>
          </w:p>
          <w:bookmarkEnd w:id="37"/>
        </w:tc>
      </w:tr>
    </w:tbl>
    <w:p>
      <w:pPr>
        <w:pStyle w:val="BodyText"/>
      </w:pPr>
      <w:r>
        <w:t xml:space="preserve">However, under dynamic extinction simulations, this grouping broke down. Introducing dynamic biomass interactions caused a distinct reshuffling in the relative relationships among network types (</w:t>
      </w:r>
      <w:hyperlink w:anchor="fig-robDynamic">
        <w:r>
          <w:rPr>
            <w:rStyle w:val="Hyperlink"/>
          </w:rPr>
          <w:t xml:space="preserve">Figure 4</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model shifted to become more similar in robustness to the empirical cluster.</w:t>
      </w:r>
    </w:p>
    <w:p>
      <w:pPr>
        <w:pStyle w:val="BodyText"/>
      </w:pPr>
      <w:r>
        <w:t xml:space="preserve">When examining topological extinctions, it is clear why empirically derived networks behave similarly to one another -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key functional parameters, including metabolic and consumption rates</w:t>
      </w:r>
      <w:r>
        <w:t xml:space="preserve"> </w:t>
      </w:r>
      <w:r>
        <w:t xml:space="preserve">(Delmas et al., 2017)</w:t>
      </w:r>
      <w:r>
        <w:t xml:space="preserve">. Because species body masses were assigned based on trophic position, the dynamic convergence of the synthetic niche model and the SVD-downsampled niche network likely reflects their shared trophic organisation. Consequently, dynamic simulations do not merely evaluate network structure; they actively re-enforce the ecological assumptions embedded during network construction.</w:t>
      </w:r>
    </w:p>
    <w:bookmarkEnd w:id="38"/>
    <w:bookmarkStart w:id="42" w:name="conclusions"/>
    <w:p>
      <w:pPr>
        <w:pStyle w:val="Heading1"/>
      </w:pPr>
      <w:r>
        <w:t xml:space="preserve">6. Conclusions</w:t>
      </w:r>
    </w:p>
    <w:p>
      <w:pPr>
        <w:pStyle w:val="FirstParagraph"/>
      </w:pPr>
      <w:r>
        <w:t xml:space="preserve">Reconstructing local food webs from regional metawebs requires explicit assumptions about how ecological processes filter potential interactions into realised local networks. By comparing four downsampling approaches across topological and dynamic extinction scenarios, we demonstrate that the mechanism of interaction removal influences both the structural topology of the resulting networks and their inferred robustness to extinction.</w:t>
      </w:r>
    </w:p>
    <w:bookmarkStart w:id="39" w:name="structural-vs.-dynamic-fragility"/>
    <w:p>
      <w:pPr>
        <w:pStyle w:val="Heading2"/>
      </w:pPr>
      <w:r>
        <w:t xml:space="preserve">6.1 Structural vs. dynamic fragility</w:t>
      </w:r>
    </w:p>
    <w:p>
      <w:pPr>
        <w:pStyle w:val="FirstParagraph"/>
      </w:pPr>
      <w:r>
        <w:t xml:space="preserve">Our results confirm that the qualitative discrepancy between topological and dynamic robustness identified by</w:t>
      </w:r>
      <w:r>
        <w:t xml:space="preserve"> </w:t>
      </w:r>
      <w:r>
        <w:t xml:space="preserve">Curtsdotter et al. (2011)</w:t>
      </w:r>
      <w:r>
        <w:t xml:space="preserve"> </w:t>
      </w:r>
      <w:r>
        <w:t xml:space="preserve">extends across alternative network reconstructions. Under most extinction scenarios, topological simulations inferred greater robustness than dynamic simulations regardless of downsampling approach. Topological extinctions treat networks as static topological dependency graphs, whereas dynamic extinctions incorporate biomass drawdown, competitive release, and rate-dependent secondary collapses. Consequently, static metrics consistently provide a conservative estimate of community vulnerability.</w:t>
      </w:r>
    </w:p>
    <w:p>
      <w:pPr>
        <w:pStyle w:val="BodyText"/>
      </w:pPr>
      <w:r>
        <w:t xml:space="preserve">Importantly, while downsampling methods generated distinct initial topologies, their effects on topological robustness were relatively modest—likely because initial metawebs were already relatively sparse (mas Co = 0.20). However, once bio-energetic dynamics were introduced, subtle structural differences translated into substantial variations in dynamic persistence. Dynamic extinctions are strongly driven by node-level properties and metabolic rates rather than link topology alone. Thus, inferred dynamic robustness reflects an interaction between network structure and the physiological constraints imposed upon it.</w:t>
      </w:r>
    </w:p>
    <w:bookmarkEnd w:id="39"/>
    <w:bookmarkStart w:id="40" w:name="Xea1a7f22f08958a60890f37c3175c29abc51939"/>
    <w:p>
      <w:pPr>
        <w:pStyle w:val="Heading2"/>
      </w:pPr>
      <w:r>
        <w:t xml:space="preserve">6.2 Mapping empirical networks or model philosophy?</w:t>
      </w:r>
    </w:p>
    <w:p>
      <w:pPr>
        <w:pStyle w:val="FirstParagraph"/>
      </w:pPr>
      <w:r>
        <w:t xml:space="preserve">A central question arising from our findings is whether dynamic simulations evaluate empirical reality or simply mirror the assumptions of the underlying models</w:t>
      </w:r>
      <w:r>
        <w:t xml:space="preserve"> </w:t>
      </w:r>
      <w:r>
        <w:t xml:space="preserve">(Strydom, Karapunar, et al., 2026)</w:t>
      </w:r>
      <w:r>
        <w:t xml:space="preserve">. The dynamic convergence between SVD-downsampled metawebs and synthetic niche models highlights a fundamental circularity - because frameworks like the BEFW rely heavily on body-mass ratios and trophic positioning to derive interaction rates, networks constructed around niche-ordering assumptions naturally align with these dynamic engines. Conversely, downsampling methods that do not enforce trophic hierarchy (such as degree-product or random link removal) introduce structural configurations that interact differently with allometric scaling rules, leading to divergent dynamic behaviors.</w:t>
      </w:r>
    </w:p>
    <w:p>
      <w:pPr>
        <w:pStyle w:val="BodyText"/>
      </w:pPr>
      <w:r>
        <w:t xml:space="preserve">This distinction is particularly evident when comparing the ATN and empirical downsampled networks. Although the ATN model is widely used as a realistic benchmark, its dynamic behaviour diverged from both the niche model. This underscores that no single synthetic network model can be treated as an absolute benchmark for realised food-web dynamics.</w:t>
      </w:r>
    </w:p>
    <w:bookmarkEnd w:id="40"/>
    <w:bookmarkStart w:id="41" w:name="implications-for-network-reconstruction"/>
    <w:p>
      <w:pPr>
        <w:pStyle w:val="Heading2"/>
      </w:pPr>
      <w:r>
        <w:t xml:space="preserve">6.3 Implications for network reconstruction</w:t>
      </w:r>
    </w:p>
    <w:p>
      <w:pPr>
        <w:pStyle w:val="FirstParagraph"/>
      </w:pPr>
      <w:r>
        <w:t xml:space="preserve">While there is no single correct downsampling approach, our results offer practical considerations for empirically-derived metaweb downsampling:</w:t>
      </w:r>
    </w:p>
    <w:p>
      <w:pPr>
        <w:pStyle w:val="Compact"/>
        <w:numPr>
          <w:ilvl w:val="0"/>
          <w:numId w:val="1001"/>
        </w:numPr>
      </w:pPr>
      <w:r>
        <w:t xml:space="preserve">Alignment with dynamic frameworks: If the objective is to parameterise dynamic biomass simulations using allometric or bio-energetic models, SVD-based niche downsampling provides an internally consistent approach that preserves trophic hierarchy without imposing arbitrary degree distributions.</w:t>
      </w:r>
    </w:p>
    <w:p>
      <w:pPr>
        <w:pStyle w:val="Compact"/>
        <w:numPr>
          <w:ilvl w:val="0"/>
          <w:numId w:val="1001"/>
        </w:numPr>
      </w:pPr>
      <w:r>
        <w:t xml:space="preserve">Caution with unconstrained null models: Random downsampling introduces topological distortions that increase structural displacement during burn-in (</w:t>
      </w:r>
      <w:hyperlink w:anchor="fig-downsample">
        <w:r>
          <w:rPr>
            <w:rStyle w:val="Hyperlink"/>
          </w:rPr>
          <w:t xml:space="preserve">Figure 1</w:t>
        </w:r>
      </w:hyperlink>
      <w:r>
        <w:t xml:space="preserve">) and generate unpredictable dynamic responses, making it unsuitable as an ecologically informative filter.</w:t>
      </w:r>
    </w:p>
    <w:p>
      <w:pPr>
        <w:pStyle w:val="Compact"/>
        <w:numPr>
          <w:ilvl w:val="0"/>
          <w:numId w:val="1001"/>
        </w:numPr>
      </w:pPr>
      <w:r>
        <w:t xml:space="preserve">Evaluating static and dynamic stability together: Because topological extinctions represent an upper bound of structural robustness and dynamic extinctions reflect rate-dependent persistence, reporting both provides a clearer picture of network robustness.</w:t>
      </w:r>
    </w:p>
    <w:p>
      <w:pPr>
        <w:pStyle w:val="FirstParagraph"/>
      </w:pPr>
      <w:r>
        <w:t xml:space="preserve">Ultimately, downsampling a metaweb is an act of modelling ecological realisation rather than simple network reduction. Acknowledging the assumptions embedded within these downsampling filters is essential for accurately inferring community robustness in both ancient and modern ecosystems.</w:t>
      </w:r>
    </w:p>
    <w:bookmarkEnd w:id="41"/>
    <w:bookmarkEnd w:id="42"/>
    <w:bookmarkStart w:id="77" w:name="references"/>
    <w:p>
      <w:pPr>
        <w:pStyle w:val="Heading1"/>
      </w:pPr>
      <w:r>
        <w:t xml:space="preserve">References</w:t>
      </w:r>
    </w:p>
    <w:bookmarkStart w:id="76" w:name="refs"/>
    <w:bookmarkStart w:id="44"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43">
        <w:r>
          <w:rPr>
            <w:rStyle w:val="Hyperlink"/>
          </w:rPr>
          <w:t xml:space="preserve">https://doi.org/10.1137/141000671</w:t>
        </w:r>
      </w:hyperlink>
    </w:p>
    <w:bookmarkEnd w:id="44"/>
    <w:bookmarkStart w:id="46"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45">
        <w:r>
          <w:rPr>
            <w:rStyle w:val="Hyperlink"/>
          </w:rPr>
          <w:t xml:space="preserve">https://doi.org/10.1890/0012-9658(2006)87[2411:CBRINF]2.0.CO;2</w:t>
        </w:r>
      </w:hyperlink>
    </w:p>
    <w:bookmarkEnd w:id="46"/>
    <w:bookmarkStart w:id="48" w:name="ref-cohenStochasticTheoryCommunity1985"/>
    <w:p>
      <w:pPr>
        <w:pStyle w:val="Bibliography"/>
      </w:pPr>
      <w:r>
        <w:t xml:space="preserve">Cohen, J. E., Newman, C. M., &amp; Steele, J. H. (1985). A stochastic theory of community food webs</w:t>
      </w:r>
      <w:r>
        <w:t xml:space="preserve"> </w:t>
      </w:r>
      <w:r>
        <w:t xml:space="preserve">I</w:t>
      </w:r>
      <w:r>
        <w:t xml:space="preserve">.</w:t>
      </w:r>
      <w:r>
        <w:t xml:space="preserve"> </w:t>
      </w:r>
      <w:r>
        <w:t xml:space="preserve">Models</w:t>
      </w:r>
      <w:r>
        <w:t xml:space="preserve"> </w:t>
      </w:r>
      <w:r>
        <w:t xml:space="preserve">and aggregated data.</w:t>
      </w:r>
      <w:r>
        <w:t xml:space="preserve"> </w:t>
      </w:r>
      <w:r>
        <w:rPr>
          <w:i/>
          <w:iCs/>
        </w:rPr>
        <w:t xml:space="preserve">Proceedings of the Royal Society of London. Series B. Biological Sciences</w:t>
      </w:r>
      <w:r>
        <w:t xml:space="preserve">,</w:t>
      </w:r>
      <w:r>
        <w:t xml:space="preserve"> </w:t>
      </w:r>
      <w:r>
        <w:rPr>
          <w:i/>
          <w:iCs/>
        </w:rPr>
        <w:t xml:space="preserve">224</w:t>
      </w:r>
      <w:r>
        <w:t xml:space="preserve">(1237), 421–448.</w:t>
      </w:r>
      <w:r>
        <w:t xml:space="preserve"> </w:t>
      </w:r>
      <w:hyperlink r:id="rId47">
        <w:r>
          <w:rPr>
            <w:rStyle w:val="Hyperlink"/>
          </w:rPr>
          <w:t xml:space="preserve">https://doi.org/10.1098/rspb.1985.0042</w:t>
        </w:r>
      </w:hyperlink>
    </w:p>
    <w:bookmarkEnd w:id="48"/>
    <w:bookmarkStart w:id="50"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9">
        <w:r>
          <w:rPr>
            <w:rStyle w:val="Hyperlink"/>
          </w:rPr>
          <w:t xml:space="preserve">https://doi.org/10.1016/j.baae.2011.09.008</w:t>
        </w:r>
      </w:hyperlink>
    </w:p>
    <w:bookmarkEnd w:id="50"/>
    <w:bookmarkStart w:id="52"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51">
        <w:r>
          <w:rPr>
            <w:rStyle w:val="Hyperlink"/>
          </w:rPr>
          <w:t xml:space="preserve">https://doi.org/10.1111/2041-210X.12713</w:t>
        </w:r>
      </w:hyperlink>
    </w:p>
    <w:bookmarkEnd w:id="52"/>
    <w:bookmarkStart w:id="53"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53"/>
    <w:bookmarkStart w:id="55"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4">
        <w:r>
          <w:rPr>
            <w:rStyle w:val="Hyperlink"/>
          </w:rPr>
          <w:t xml:space="preserve">https://doi.org/10.1111/oik.01588</w:t>
        </w:r>
      </w:hyperlink>
    </w:p>
    <w:bookmarkEnd w:id="55"/>
    <w:bookmarkStart w:id="57"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6">
        <w:r>
          <w:rPr>
            <w:rStyle w:val="Hyperlink"/>
          </w:rPr>
          <w:t xml:space="preserve">https://doi.org/10.64898/2026.02.24.707709</w:t>
        </w:r>
      </w:hyperlink>
      <w:r>
        <w:t xml:space="preserve"> </w:t>
      </w:r>
      <w:r>
        <w:t xml:space="preserve">(Pre-published)</w:t>
      </w:r>
    </w:p>
    <w:bookmarkEnd w:id="57"/>
    <w:bookmarkStart w:id="59"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8">
        <w:r>
          <w:rPr>
            <w:rStyle w:val="Hyperlink"/>
          </w:rPr>
          <w:t xml:space="preserve">https://doi.org/10.1111/2041-210X.14497</w:t>
        </w:r>
      </w:hyperlink>
    </w:p>
    <w:bookmarkEnd w:id="59"/>
    <w:bookmarkStart w:id="61"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60">
        <w:r>
          <w:rPr>
            <w:rStyle w:val="Hyperlink"/>
          </w:rPr>
          <w:t xml:space="preserve">https://doi.org/10.1086/587068</w:t>
        </w:r>
      </w:hyperlink>
    </w:p>
    <w:bookmarkEnd w:id="61"/>
    <w:bookmarkStart w:id="63"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2">
        <w:r>
          <w:rPr>
            <w:rStyle w:val="Hyperlink"/>
          </w:rPr>
          <w:t xml:space="preserve">https://www.jstor.org/stable/4096814</w:t>
        </w:r>
      </w:hyperlink>
    </w:p>
    <w:bookmarkEnd w:id="63"/>
    <w:bookmarkStart w:id="65"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4">
        <w:r>
          <w:rPr>
            <w:rStyle w:val="Hyperlink"/>
          </w:rPr>
          <w:t xml:space="preserve">https://doi.org/10.1101/2024.01.30.578036</w:t>
        </w:r>
      </w:hyperlink>
      <w:r>
        <w:t xml:space="preserve"> </w:t>
      </w:r>
      <w:r>
        <w:t xml:space="preserve">(Pre-published)</w:t>
      </w:r>
    </w:p>
    <w:bookmarkEnd w:id="65"/>
    <w:bookmarkStart w:id="67"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6">
        <w:r>
          <w:rPr>
            <w:rStyle w:val="Hyperlink"/>
          </w:rPr>
          <w:t xml:space="preserve">https://doi.org/10.1111/2041-210X.13835</w:t>
        </w:r>
      </w:hyperlink>
    </w:p>
    <w:bookmarkEnd w:id="67"/>
    <w:bookmarkStart w:id="69"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68">
        <w:r>
          <w:rPr>
            <w:rStyle w:val="Hyperlink"/>
          </w:rPr>
          <w:t xml:space="preserve">https://ecoevorxiv.org/repository/view/11514/</w:t>
        </w:r>
      </w:hyperlink>
    </w:p>
    <w:bookmarkEnd w:id="69"/>
    <w:bookmarkStart w:id="71"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0">
        <w:r>
          <w:rPr>
            <w:rStyle w:val="Hyperlink"/>
          </w:rPr>
          <w:t xml:space="preserve">https://ecoevorxiv.org/repository/view/13495/</w:t>
        </w:r>
      </w:hyperlink>
    </w:p>
    <w:bookmarkEnd w:id="71"/>
    <w:bookmarkStart w:id="73"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2">
        <w:r>
          <w:rPr>
            <w:rStyle w:val="Hyperlink"/>
          </w:rPr>
          <w:t xml:space="preserve">https://doi.org/10.1038/35004572</w:t>
        </w:r>
      </w:hyperlink>
    </w:p>
    <w:bookmarkEnd w:id="73"/>
    <w:bookmarkStart w:id="75"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74">
        <w:r>
          <w:rPr>
            <w:rStyle w:val="Hyperlink"/>
          </w:rPr>
          <w:t xml:space="preserve">https://doi.org/10.1086/285380</w:t>
        </w:r>
      </w:hyperlink>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hyperlink" Id="rId49" Target="https://doi.org/10.1016/j.baae.2011.09.008" TargetMode="External" /><Relationship Type="http://schemas.openxmlformats.org/officeDocument/2006/relationships/hyperlink" Id="rId72" Target="https://doi.org/10.1038/35004572" TargetMode="External" /><Relationship Type="http://schemas.openxmlformats.org/officeDocument/2006/relationships/hyperlink" Id="rId74" Target="https://doi.org/10.1086/285380" TargetMode="External" /><Relationship Type="http://schemas.openxmlformats.org/officeDocument/2006/relationships/hyperlink" Id="rId60" Target="https://doi.org/10.1086/587068" TargetMode="External" /><Relationship Type="http://schemas.openxmlformats.org/officeDocument/2006/relationships/hyperlink" Id="rId47" Target="https://doi.org/10.1098/rspb.1985.0042" TargetMode="External" /><Relationship Type="http://schemas.openxmlformats.org/officeDocument/2006/relationships/hyperlink" Id="rId64" Target="https://doi.org/10.1101/2024.01.30.578036" TargetMode="External" /><Relationship Type="http://schemas.openxmlformats.org/officeDocument/2006/relationships/hyperlink" Id="rId51" Target="https://doi.org/10.1111/2041-210X.12713" TargetMode="External" /><Relationship Type="http://schemas.openxmlformats.org/officeDocument/2006/relationships/hyperlink" Id="rId66" Target="https://doi.org/10.1111/2041-210X.13835" TargetMode="External" /><Relationship Type="http://schemas.openxmlformats.org/officeDocument/2006/relationships/hyperlink" Id="rId58" Target="https://doi.org/10.1111/2041-210X.14497" TargetMode="External" /><Relationship Type="http://schemas.openxmlformats.org/officeDocument/2006/relationships/hyperlink" Id="rId54" Target="https://doi.org/10.1111/oik.01588" TargetMode="External" /><Relationship Type="http://schemas.openxmlformats.org/officeDocument/2006/relationships/hyperlink" Id="rId43" Target="https://doi.org/10.1137/141000671" TargetMode="External" /><Relationship Type="http://schemas.openxmlformats.org/officeDocument/2006/relationships/hyperlink" Id="rId45" Target="https://doi.org/10.1890/0012-9658(2006)87[2411:CBRINF]2.0.CO;2" TargetMode="External" /><Relationship Type="http://schemas.openxmlformats.org/officeDocument/2006/relationships/hyperlink" Id="rId56" Target="https://doi.org/10.64898/2026.02.24.707709" TargetMode="External" /><Relationship Type="http://schemas.openxmlformats.org/officeDocument/2006/relationships/hyperlink" Id="rId68" Target="https://ecoevorxiv.org/repository/view/11514/" TargetMode="External" /><Relationship Type="http://schemas.openxmlformats.org/officeDocument/2006/relationships/hyperlink" Id="rId70" Target="https://ecoevorxiv.org/repository/view/13495/" TargetMode="External" /><Relationship Type="http://schemas.openxmlformats.org/officeDocument/2006/relationships/hyperlink" Id="rId62"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1016/j.baae.2011.09.008" TargetMode="External" /><Relationship Type="http://schemas.openxmlformats.org/officeDocument/2006/relationships/hyperlink" Id="rId72" Target="https://doi.org/10.1038/35004572" TargetMode="External" /><Relationship Type="http://schemas.openxmlformats.org/officeDocument/2006/relationships/hyperlink" Id="rId74" Target="https://doi.org/10.1086/285380" TargetMode="External" /><Relationship Type="http://schemas.openxmlformats.org/officeDocument/2006/relationships/hyperlink" Id="rId60" Target="https://doi.org/10.1086/587068" TargetMode="External" /><Relationship Type="http://schemas.openxmlformats.org/officeDocument/2006/relationships/hyperlink" Id="rId47" Target="https://doi.org/10.1098/rspb.1985.0042" TargetMode="External" /><Relationship Type="http://schemas.openxmlformats.org/officeDocument/2006/relationships/hyperlink" Id="rId64" Target="https://doi.org/10.1101/2024.01.30.578036" TargetMode="External" /><Relationship Type="http://schemas.openxmlformats.org/officeDocument/2006/relationships/hyperlink" Id="rId51" Target="https://doi.org/10.1111/2041-210X.12713" TargetMode="External" /><Relationship Type="http://schemas.openxmlformats.org/officeDocument/2006/relationships/hyperlink" Id="rId66" Target="https://doi.org/10.1111/2041-210X.13835" TargetMode="External" /><Relationship Type="http://schemas.openxmlformats.org/officeDocument/2006/relationships/hyperlink" Id="rId58" Target="https://doi.org/10.1111/2041-210X.14497" TargetMode="External" /><Relationship Type="http://schemas.openxmlformats.org/officeDocument/2006/relationships/hyperlink" Id="rId54" Target="https://doi.org/10.1111/oik.01588" TargetMode="External" /><Relationship Type="http://schemas.openxmlformats.org/officeDocument/2006/relationships/hyperlink" Id="rId43" Target="https://doi.org/10.1137/141000671" TargetMode="External" /><Relationship Type="http://schemas.openxmlformats.org/officeDocument/2006/relationships/hyperlink" Id="rId45" Target="https://doi.org/10.1890/0012-9658(2006)87[2411:CBRINF]2.0.CO;2" TargetMode="External" /><Relationship Type="http://schemas.openxmlformats.org/officeDocument/2006/relationships/hyperlink" Id="rId56" Target="https://doi.org/10.64898/2026.02.24.707709" TargetMode="External" /><Relationship Type="http://schemas.openxmlformats.org/officeDocument/2006/relationships/hyperlink" Id="rId68" Target="https://ecoevorxiv.org/repository/view/11514/" TargetMode="External" /><Relationship Type="http://schemas.openxmlformats.org/officeDocument/2006/relationships/hyperlink" Id="rId70" Target="https://ecoevorxiv.org/repository/view/13495/" TargetMode="External" /><Relationship Type="http://schemas.openxmlformats.org/officeDocument/2006/relationships/hyperlink" Id="rId62"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Realising food webs: downsampling assumptions propagate into dynamic extinction models</dc:title>
  <dc:creator/>
  <cp:keywords>food webs</cp:keywords>
  <dcterms:created xsi:type="dcterms:W3CDTF">2026-08-07T08:23:51Z</dcterms:created>
  <dcterms:modified xsi:type="dcterms:W3CDTF">2026-08-07T08:23:51Z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food-web models require realised interaction networks, yet empirical data frequently describe regional metawebs containing many potential interactions that cannot occur simultaneously. Converting metawebs into realised networks is therefore an essential but often overlooked modelling step. Existing approaches implicitly assume different ecological mechanisms governing which interactions are realised, but the consequences of these assumptions remain largely unexplored. Here we compare four ecologically motivated downsampling approaches representing alternative hypotheses of interaction realisation. Using empirical metawebs, we generated ensembles of realised networks and examined how these assumptions influenced network topology, burn-in dynamics and extinction simulations under both topological and dynamical frameworks. Rather than identifying a single optimal downsampling procedure, our objective was to evaluate how alternative ecological assumptions propagate through subsequent analyses. Different realisation processes consistently produced distinct network structures and altered the behaviour of extinction models despite beginning from identical regional interaction pools. These results suggest that realised-network generation should be regarded as an explicit component of ecological modelling rather than a purely technical preprocessing step. As dynamic food-web models become increasingly common, uncertainty arising from assumptions about interaction realisation may be as important to ecological interpretation as the choice of dynamical model itself.</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2026-08-07</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