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6.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2026-08-04</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niche approach assumes that realised interactions represent the core of a consumer’s trophic niche. A one-dimensional latent niche axis,</w:t>
      </w:r>
      <w:r>
        <w:t xml:space="preserve"> </w:t>
      </w:r>
      <m:oMath>
        <m:sSub>
          <m:e>
            <m:r>
              <m:t>x</m:t>
            </m:r>
          </m:e>
          <m:sub>
            <m:r>
              <m:t>i</m:t>
            </m:r>
          </m:sub>
        </m:sSub>
      </m:oMath>
      <w:r>
        <w:t xml:space="preserve">, is first estimated from the interaction matrix using the leading singular vectors of the Singular Value Decomposition (SVD). 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it is also possible to scale the niche breadth to further constrain niche breadth,</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and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w:t>
      </w:r>
      <w:r>
        <w:t xml:space="preserve">panel A). The model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downsampling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5334000"/>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TODO</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7</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produced a distinct response, differing from the other three downsampling approaches. In contrast, these latter three approaches showed statistically indistinguishable trajectories</w:t>
      </w:r>
      <w:r>
        <w:t xml:space="preserve"> </w:t>
      </w:r>
      <w:hyperlink w:anchor="fig-downsample">
        <w:r>
          <w:rPr>
            <w:rStyle w:val="Hyperlink"/>
          </w:rPr>
          <w:t xml:space="preserve">Figure 1</w:t>
        </w:r>
      </w:hyperlink>
      <w:r>
        <w:t xml:space="preserve">. Together, these results indicate that although all approaches altered topology as connectance decreased, link-based removal generated a different pathway of structural change compared with the other downsampling approaches.</w:t>
      </w:r>
    </w:p>
    <w:p>
      <w:pPr>
        <w:pStyle w:val="BodyText"/>
      </w:pPr>
      <w:r>
        <w:t xml:space="preserve">Beyond the effects of downsampling, network construction approach also influenced how topology changed during subsequent burn-in. Principal component analysis (PCA) was used to represent variation in topology space, and structural reorganisation during burn-in was quantified as the Euclidean displacement between network positions at creation and after burn-in across the first three PCA dimensions. Linear modelling showed that burn-in displacement differed significantly among network types (</w:t>
      </w:r>
      <m:oMath>
        <m:sSub>
          <m:e>
            <m:r>
              <m:t>F</m:t>
            </m:r>
          </m:e>
          <m:sub>
            <m:r>
              <m:t>6</m:t>
            </m:r>
            <m:r>
              <m:rPr>
                <m:sty m:val="p"/>
              </m:rPr>
              <m:t>,</m:t>
            </m:r>
            <m:r>
              <m:t>1158</m:t>
            </m:r>
          </m:sub>
        </m:sSub>
      </m:oMath>
      <w:r>
        <w:t xml:space="preserve"> </w:t>
      </w:r>
      <w:r>
        <w:t xml:space="preserve">= 62.00,</w:t>
      </w:r>
      <w:r>
        <w:t xml:space="preserve"> </w:t>
      </w:r>
      <m:oMath>
        <m:r>
          <m:t>p</m:t>
        </m:r>
      </m:oMath>
      <w:r>
        <w:t xml:space="preserve"> </w:t>
      </w:r>
      <w:r>
        <w:t xml:space="preserve">&lt; 0.001). With the exception of the random the downsampled networks had a similar displacement to the niche model</w:t>
      </w:r>
      <w:r>
        <w:t xml:space="preserve"> </w:t>
      </w:r>
      <w:hyperlink w:anchor="fig-downsample">
        <w:r>
          <w:rPr>
            <w:rStyle w:val="Hyperlink"/>
          </w:rPr>
          <w:t xml:space="preserve">Figure 1</w:t>
        </w:r>
      </w:hyperlink>
      <w:r>
        <w:t xml:space="preserve">, whereas metawebs and ATNs had their own distinct displacement trajectories.</w:t>
      </w:r>
    </w:p>
    <w:p>
      <w:pPr>
        <w:pStyle w:val="BodyText"/>
      </w:pPr>
      <w:r>
        <w:t xml:space="preserve">Together, these analyses demonstrate that the different downsampling approaches will create structurally distinct networks, with these differences becoming more apparent the more aggressive the degree of downsampling becomes. This is unsurprising since as more links are removed the stronger the embedded ecological assumptions behind the link removal process will become. Reassuringly we see that the downsampled networks showcase similar structural changes during the burn-in phase, and that these changes are more in line with those exhibited by the niche model than the original metaweb indicating that these downsampling approaches do indeed produce networks that are more aligned with realised webs than with the original metaweb. The exception here is the random network, which is to be expected as it does not embed any ecological assumptions and thus we expect it to behave differently in dynamic settings.</w:t>
      </w:r>
    </w:p>
    <w:bookmarkEnd w:id="24"/>
    <w:bookmarkStart w:id="25" w:name="X62ef15145e52d29c97c229b1712b0ef83451468"/>
    <w:p>
      <w:pPr>
        <w:pStyle w:val="Heading1"/>
      </w:pPr>
      <w:r>
        <w:t xml:space="preserve">4. Differences in inferred robustness of topological and dynamic unaffected by network type</w:t>
      </w:r>
    </w:p>
    <w:p>
      <w:pPr>
        <w:pStyle w:val="FirstParagraph"/>
      </w:pPr>
      <w:r>
        <w:t xml:space="preserve">Still see that topological robustness is more conservative than dynamic extinctions</w:t>
      </w:r>
    </w:p>
    <w:bookmarkEnd w:id="25"/>
    <w:bookmarkStart w:id="38" w:name="Xf80b93725e354d718d9344b1cbb51abd26f5b39"/>
    <w:p>
      <w:pPr>
        <w:pStyle w:val="Heading1"/>
      </w:pPr>
      <w:r>
        <w:t xml:space="preserve">5. Network type alters the propagation of dynamical extinctions</w:t>
      </w:r>
    </w:p>
    <w:p>
      <w:pPr>
        <w:pStyle w:val="FirstParagraph"/>
      </w:pPr>
      <w:r>
        <w:t xml:space="preserve">Report here about the secondary extinction rates as well as the pairwise contrasts.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34000" cy="2133599"/>
                  <wp:effectExtent b="0" l="0" r="0" t="0"/>
                  <wp:docPr descr="" title="" id="27" name="Picture"/>
                  <a:graphic>
                    <a:graphicData uri="http://schemas.openxmlformats.org/drawingml/2006/picture">
                      <pic:pic>
                        <pic:nvPicPr>
                          <pic:cNvPr descr="figures/paleo_primVsec.png" id="28" name="Picture"/>
                          <pic:cNvPicPr>
                            <a:picLocks noChangeArrowheads="1" noChangeAspect="1"/>
                          </pic:cNvPicPr>
                        </pic:nvPicPr>
                        <pic:blipFill>
                          <a:blip r:embed="rId26"/>
                          <a:stretch>
                            <a:fillRect/>
                          </a:stretch>
                        </pic:blipFill>
                        <pic:spPr bwMode="auto">
                          <a:xfrm>
                            <a:off x="0" y="0"/>
                            <a:ext cx="5334000" cy="2133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TODO</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334000" cy="4267200"/>
                  <wp:effectExtent b="0" l="0" r="0" t="0"/>
                  <wp:docPr descr="" title="" id="31" name="Picture"/>
                  <a:graphic>
                    <a:graphicData uri="http://schemas.openxmlformats.org/drawingml/2006/picture">
                      <pic:pic>
                        <pic:nvPicPr>
                          <pic:cNvPr descr="figures/rob_contrasts.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334000" cy="3556000"/>
                  <wp:effectExtent b="0" l="0" r="0" t="0"/>
                  <wp:docPr descr="" title="" id="35" name="Picture"/>
                  <a:graphic>
                    <a:graphicData uri="http://schemas.openxmlformats.org/drawingml/2006/picture">
                      <pic:pic>
                        <pic:nvPicPr>
                          <pic:cNvPr descr="figures/rob_prop_indistinguishable.png" id="36"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7"/>
        </w:tc>
      </w:tr>
    </w:tbl>
    <w:p>
      <w:pPr>
        <w:pStyle w:val="BodyText"/>
      </w:pPr>
      <w:r>
        <w:t xml:space="preserve">## Relative to the niche model, niche downsampling is the closest match</w:t>
      </w:r>
    </w:p>
    <w:p>
      <w:pPr>
        <w:pStyle w:val="BodyText"/>
      </w:pPr>
      <w:r>
        <w:t xml:space="preserve">Most often the ones to not be different from each other. Worth pointing out that the ATN behaves very differently as well. So again we are back at are we modelling network or model behaviour</w:t>
      </w:r>
      <w:r>
        <w:t xml:space="preserve"> </w:t>
      </w:r>
      <w:r>
        <w:t xml:space="preserve">(Strydom, Karapunar, et al., 2026)</w:t>
      </w:r>
    </w:p>
    <w:bookmarkEnd w:id="38"/>
    <w:bookmarkStart w:id="39" w:name="conclusion"/>
    <w:p>
      <w:pPr>
        <w:pStyle w:val="Heading1"/>
      </w:pPr>
      <w:r>
        <w:t xml:space="preserve">6. Conclusion</w:t>
      </w:r>
    </w:p>
    <w:bookmarkEnd w:id="39"/>
    <w:bookmarkStart w:id="65" w:name="references"/>
    <w:p>
      <w:pPr>
        <w:pStyle w:val="Heading1"/>
      </w:pPr>
      <w:r>
        <w:t xml:space="preserve">References</w:t>
      </w:r>
    </w:p>
    <w:bookmarkStart w:id="64" w:name="refs"/>
    <w:bookmarkStart w:id="41"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40">
        <w:r>
          <w:rPr>
            <w:rStyle w:val="Hyperlink"/>
          </w:rPr>
          <w:t xml:space="preserve">https://doi.org/10.1137/141000671</w:t>
        </w:r>
      </w:hyperlink>
    </w:p>
    <w:bookmarkEnd w:id="41"/>
    <w:bookmarkStart w:id="43"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2">
        <w:r>
          <w:rPr>
            <w:rStyle w:val="Hyperlink"/>
          </w:rPr>
          <w:t xml:space="preserve">https://doi.org/10.1890/0012-9658(2006)87[2411:CBRINF]2.0.CO;2</w:t>
        </w:r>
      </w:hyperlink>
    </w:p>
    <w:bookmarkEnd w:id="43"/>
    <w:bookmarkStart w:id="45"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4">
        <w:r>
          <w:rPr>
            <w:rStyle w:val="Hyperlink"/>
          </w:rPr>
          <w:t xml:space="preserve">https://doi.org/10.1016/j.baae.2011.09.008</w:t>
        </w:r>
      </w:hyperlink>
    </w:p>
    <w:bookmarkEnd w:id="45"/>
    <w:bookmarkStart w:id="47"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6">
        <w:r>
          <w:rPr>
            <w:rStyle w:val="Hyperlink"/>
          </w:rPr>
          <w:t xml:space="preserve">https://doi.org/10.1111/2041-210X.12713</w:t>
        </w:r>
      </w:hyperlink>
    </w:p>
    <w:bookmarkEnd w:id="47"/>
    <w:bookmarkStart w:id="49"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48">
        <w:r>
          <w:rPr>
            <w:rStyle w:val="Hyperlink"/>
          </w:rPr>
          <w:t xml:space="preserve">https://doi.org/10.1111/oik.01588</w:t>
        </w:r>
      </w:hyperlink>
    </w:p>
    <w:bookmarkEnd w:id="49"/>
    <w:bookmarkStart w:id="51"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0">
        <w:r>
          <w:rPr>
            <w:rStyle w:val="Hyperlink"/>
          </w:rPr>
          <w:t xml:space="preserve">https://doi.org/10.64898/2026.02.24.707709</w:t>
        </w:r>
      </w:hyperlink>
      <w:r>
        <w:t xml:space="preserve"> </w:t>
      </w:r>
      <w:r>
        <w:t xml:space="preserve">(Pre-published)</w:t>
      </w:r>
    </w:p>
    <w:bookmarkEnd w:id="51"/>
    <w:bookmarkStart w:id="53"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2">
        <w:r>
          <w:rPr>
            <w:rStyle w:val="Hyperlink"/>
          </w:rPr>
          <w:t xml:space="preserve">https://doi.org/10.1111/2041-210X.14497</w:t>
        </w:r>
      </w:hyperlink>
    </w:p>
    <w:bookmarkEnd w:id="53"/>
    <w:bookmarkStart w:id="55"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54">
        <w:r>
          <w:rPr>
            <w:rStyle w:val="Hyperlink"/>
          </w:rPr>
          <w:t xml:space="preserve">https://www.jstor.org/stable/4096814</w:t>
        </w:r>
      </w:hyperlink>
    </w:p>
    <w:bookmarkEnd w:id="55"/>
    <w:bookmarkStart w:id="57"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56">
        <w:r>
          <w:rPr>
            <w:rStyle w:val="Hyperlink"/>
          </w:rPr>
          <w:t xml:space="preserve">https://doi.org/10.1101/2024.01.30.578036</w:t>
        </w:r>
      </w:hyperlink>
      <w:r>
        <w:t xml:space="preserve"> </w:t>
      </w:r>
      <w:r>
        <w:t xml:space="preserve">(Pre-published)</w:t>
      </w:r>
    </w:p>
    <w:bookmarkEnd w:id="57"/>
    <w:bookmarkStart w:id="59"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58">
        <w:r>
          <w:rPr>
            <w:rStyle w:val="Hyperlink"/>
          </w:rPr>
          <w:t xml:space="preserve">https://ecoevorxiv.org/repository/view/11514/</w:t>
        </w:r>
      </w:hyperlink>
    </w:p>
    <w:bookmarkEnd w:id="59"/>
    <w:bookmarkStart w:id="61"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60">
        <w:r>
          <w:rPr>
            <w:rStyle w:val="Hyperlink"/>
          </w:rPr>
          <w:t xml:space="preserve">https://ecoevorxiv.org/repository/view/13495/</w:t>
        </w:r>
      </w:hyperlink>
    </w:p>
    <w:bookmarkEnd w:id="61"/>
    <w:bookmarkStart w:id="63"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62">
        <w:r>
          <w:rPr>
            <w:rStyle w:val="Hyperlink"/>
          </w:rPr>
          <w:t xml:space="preserve">https://doi.org/10.1038/35004572</w:t>
        </w:r>
      </w:hyperlink>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hyperlink" Id="rId44" Target="https://doi.org/10.1016/j.baae.2011.09.008" TargetMode="External" /><Relationship Type="http://schemas.openxmlformats.org/officeDocument/2006/relationships/hyperlink" Id="rId62" Target="https://doi.org/10.1038/35004572" TargetMode="External" /><Relationship Type="http://schemas.openxmlformats.org/officeDocument/2006/relationships/hyperlink" Id="rId56" Target="https://doi.org/10.1101/2024.01.30.578036" TargetMode="External" /><Relationship Type="http://schemas.openxmlformats.org/officeDocument/2006/relationships/hyperlink" Id="rId46" Target="https://doi.org/10.1111/2041-210X.12713" TargetMode="External" /><Relationship Type="http://schemas.openxmlformats.org/officeDocument/2006/relationships/hyperlink" Id="rId52" Target="https://doi.org/10.1111/2041-210X.14497" TargetMode="External" /><Relationship Type="http://schemas.openxmlformats.org/officeDocument/2006/relationships/hyperlink" Id="rId48" Target="https://doi.org/10.1111/oik.01588" TargetMode="External" /><Relationship Type="http://schemas.openxmlformats.org/officeDocument/2006/relationships/hyperlink" Id="rId40" Target="https://doi.org/10.1137/141000671" TargetMode="External" /><Relationship Type="http://schemas.openxmlformats.org/officeDocument/2006/relationships/hyperlink" Id="rId42" Target="https://doi.org/10.1890/0012-9658(2006)87[2411:CBRINF]2.0.CO;2" TargetMode="External" /><Relationship Type="http://schemas.openxmlformats.org/officeDocument/2006/relationships/hyperlink" Id="rId50" Target="https://doi.org/10.64898/2026.02.24.707709" TargetMode="External" /><Relationship Type="http://schemas.openxmlformats.org/officeDocument/2006/relationships/hyperlink" Id="rId58" Target="https://ecoevorxiv.org/repository/view/11514/" TargetMode="External" /><Relationship Type="http://schemas.openxmlformats.org/officeDocument/2006/relationships/hyperlink" Id="rId60" Target="https://ecoevorxiv.org/repository/view/13495/" TargetMode="External" /><Relationship Type="http://schemas.openxmlformats.org/officeDocument/2006/relationships/hyperlink" Id="rId54"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j.baae.2011.09.008" TargetMode="External" /><Relationship Type="http://schemas.openxmlformats.org/officeDocument/2006/relationships/hyperlink" Id="rId62" Target="https://doi.org/10.1038/35004572" TargetMode="External" /><Relationship Type="http://schemas.openxmlformats.org/officeDocument/2006/relationships/hyperlink" Id="rId56" Target="https://doi.org/10.1101/2024.01.30.578036" TargetMode="External" /><Relationship Type="http://schemas.openxmlformats.org/officeDocument/2006/relationships/hyperlink" Id="rId46" Target="https://doi.org/10.1111/2041-210X.12713" TargetMode="External" /><Relationship Type="http://schemas.openxmlformats.org/officeDocument/2006/relationships/hyperlink" Id="rId52" Target="https://doi.org/10.1111/2041-210X.14497" TargetMode="External" /><Relationship Type="http://schemas.openxmlformats.org/officeDocument/2006/relationships/hyperlink" Id="rId48" Target="https://doi.org/10.1111/oik.01588" TargetMode="External" /><Relationship Type="http://schemas.openxmlformats.org/officeDocument/2006/relationships/hyperlink" Id="rId40" Target="https://doi.org/10.1137/141000671" TargetMode="External" /><Relationship Type="http://schemas.openxmlformats.org/officeDocument/2006/relationships/hyperlink" Id="rId42" Target="https://doi.org/10.1890/0012-9658(2006)87[2411:CBRINF]2.0.CO;2" TargetMode="External" /><Relationship Type="http://schemas.openxmlformats.org/officeDocument/2006/relationships/hyperlink" Id="rId50" Target="https://doi.org/10.64898/2026.02.24.707709" TargetMode="External" /><Relationship Type="http://schemas.openxmlformats.org/officeDocument/2006/relationships/hyperlink" Id="rId58" Target="https://ecoevorxiv.org/repository/view/11514/" TargetMode="External" /><Relationship Type="http://schemas.openxmlformats.org/officeDocument/2006/relationships/hyperlink" Id="rId60" Target="https://ecoevorxiv.org/repository/view/13495/" TargetMode="External" /><Relationship Type="http://schemas.openxmlformats.org/officeDocument/2006/relationships/hyperlink" Id="rId54"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2026-08-04T13:49:57Z</dcterms:created>
  <dcterms:modified xsi:type="dcterms:W3CDTF">2026-08-04T13:49:57Z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2026-08-04</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