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2026-07-31</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w:t>
      </w:r>
    </w:p>
    <w:bookmarkEnd w:id="9"/>
    <w:bookmarkStart w:id="15" w:name="methods"/>
    <w:p>
      <w:pPr>
        <w:pStyle w:val="Heading1"/>
      </w:pPr>
      <w:r>
        <w:t xml:space="preserve">2. Methods</w:t>
      </w:r>
    </w:p>
    <w:p>
      <w:pPr>
        <w:pStyle w:val="FirstParagraph"/>
      </w:pPr>
      <w:r>
        <w:t xml:space="preserve">## Data</w:t>
      </w:r>
    </w:p>
    <w:p>
      <w:pPr>
        <w:pStyle w:val="BodyText"/>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Start w:id="10" w:name="network-construction"/>
    <w:p>
      <w:pPr>
        <w:pStyle w:val="Heading2"/>
      </w:pPr>
      <w:r>
        <w:t xml:space="preserve">2.1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0"/>
    <w:bookmarkStart w:id="11" w:name="downsampling-approaches"/>
    <w:p>
      <w:pPr>
        <w:pStyle w:val="Heading2"/>
      </w:pPr>
      <w:r>
        <w:t xml:space="preserve">2.2 Downsampling approaches</w:t>
      </w:r>
    </w:p>
    <w:p>
      <w:pPr>
        <w:pStyle w:val="FirstParagraph"/>
      </w:pPr>
      <w:r>
        <w:t xml:space="preserve">Maybe just a brief interlude about how a metaweb represents all feasible interactions (so capturing the entire diet breadth of a specific species). Idea here is to prime that this is all links but acknowledge that in reality species are rarely feeding across their entire diet breadth.</w:t>
      </w:r>
    </w:p>
    <w:p>
      <w:pPr>
        <w:pStyle w:val="BodyText"/>
      </w:pPr>
      <w:r>
        <w:rPr>
          <w:i/>
          <w:iCs/>
        </w:rPr>
        <w:t xml:space="preserve">Niche:</w:t>
      </w:r>
      <w:r>
        <w:t xml:space="preserve"> </w:t>
      </w:r>
      <w:r>
        <w:t xml:space="preserve">Attempt to create a network that appears similar to a standard niche model network this is done by estimating a one-dimensional niche axis from the interaction matrix using the leading singular vectors of the Singular Value Decomposition (SVD). Species are then assigned positions along a common latent niche dimension, which is subsequently used to estimate consumer niche centres and niche breadths.</w:t>
      </w:r>
    </w:p>
    <w:p>
      <w:pPr>
        <w:pStyle w:val="BodyText"/>
      </w:pPr>
      <w:r>
        <w:rPr>
          <w:i/>
          <w:iCs/>
        </w:rPr>
        <w:t xml:space="preserve">Power-law</w:t>
      </w:r>
      <w:r>
        <w:rPr>
          <w:i/>
          <w:iCs/>
        </w:rPr>
        <w:t xml:space="preserve"> </w:t>
      </w:r>
      <w:r>
        <w:rPr>
          <w:i/>
          <w:iCs/>
        </w:rPr>
        <w:t xml:space="preserve">(Roopnarine, 2006)</w:t>
      </w:r>
      <w:r>
        <w:rPr>
          <w:i/>
          <w:iCs/>
        </w:rPr>
        <w:t xml:space="preserve">:</w:t>
      </w:r>
      <w:r>
        <w:t xml:space="preserve"> </w:t>
      </w:r>
      <w:r>
        <w:t xml:space="preserve">Based around ideas of extinctions and which links/specie will be lost - with the idea that generalist species will be the most robust and as such will retain their links. Consumers with larger trophic breadth (higher generality) receive larger retention probabilities and are therefore less likely to lose interactions.</w:t>
      </w:r>
    </w:p>
    <w:p>
      <w:pPr>
        <w:pStyle w:val="BodyText"/>
      </w:pPr>
      <w:r>
        <w:rPr>
          <w:i/>
          <w:iCs/>
        </w:rPr>
        <w:t xml:space="preserve">Degree-product:</w:t>
      </w:r>
      <w:r>
        <w:t xml:space="preserve"> </w:t>
      </w:r>
      <w:r>
        <w:t xml:space="preserve">Product of the out-degreee (generality) of the predator and the in-degree (vulnerability) of the consumer are used to assign a probability for each link. Links are then randomly removed based on that probability (note to self check if it is iterative each time so that the degrees are re-evaluated, it think this is the case). Here the ecological assumption is that generalist predators and vulnerable prey are probably not feeding/being fed on by everything, whereas for specialist species those links are probably occurring thus it makes sense to prune links from the most connected species pairs</w:t>
      </w:r>
    </w:p>
    <w:p>
      <w:pPr>
        <w:pStyle w:val="BodyText"/>
      </w:pPr>
      <w:r>
        <w:rPr>
          <w:i/>
          <w:iCs/>
        </w:rPr>
        <w:t xml:space="preserve">Random:</w:t>
      </w:r>
      <w:r>
        <w:t xml:space="preserve"> </w:t>
      </w:r>
      <w:r>
        <w:t xml:space="preserve">Links randomly removed until target connectance is reached, with the exception if a species becomes isolated in which case a different link is target for removal. This is the</w:t>
      </w:r>
      <w:r>
        <w:t xml:space="preserve"> </w:t>
      </w:r>
      <w:r>
        <w:t xml:space="preserve">‘null model’</w:t>
      </w:r>
    </w:p>
    <w:bookmarkEnd w:id="11"/>
    <w:bookmarkStart w:id="12" w:name="simulations"/>
    <w:p>
      <w:pPr>
        <w:pStyle w:val="Heading2"/>
      </w:pPr>
      <w:r>
        <w:t xml:space="preserve">2.3 Simulations</w:t>
      </w:r>
    </w:p>
    <w:p>
      <w:pPr>
        <w:pStyle w:val="FirstParagraph"/>
      </w:pPr>
      <w:r>
        <w:t xml:space="preserve">For each community we create a network, sample a body size based on the categorical size classes, this is a truncated normal distribution. Body sizes are used to build the ATN (mention here that we vary the threshold value between 0.01-0.12 and select the network that has the closest connectance to the target one) We also select a target connectance between 0.05-0.15. Each network is then downsampled to the target connectance. This represents the</w:t>
      </w:r>
      <w:r>
        <w:t xml:space="preserve"> </w:t>
      </w:r>
      <w:r>
        <w:t xml:space="preserve">‘creation’</w:t>
      </w:r>
      <w:r>
        <w:t xml:space="preserve"> </w:t>
      </w:r>
      <w:r>
        <w:t xml:space="preserve">stage. At this point we run a set of topological cascading extinctions for the difference extinction scenarios. Using the END</w:t>
      </w:r>
      <w:r>
        <w:t xml:space="preserve"> </w:t>
      </w:r>
      <w:r>
        <w:t xml:space="preserve">(Delmas et al., 2017)</w:t>
      </w:r>
      <w:r>
        <w:t xml:space="preserve"> </w:t>
      </w:r>
      <w:r>
        <w:t xml:space="preserve">each network is then run through a</w:t>
      </w:r>
      <w:r>
        <w:t xml:space="preserve"> </w:t>
      </w:r>
      <w:r>
        <w:t xml:space="preserve">‘burn-in’</w:t>
      </w:r>
      <w:r>
        <w:t xml:space="preserve"> </w:t>
      </w:r>
      <w:r>
        <w:t xml:space="preserve">period for 5000 time steps or until it has reached a steady state. Here we run another set of topological extinctions. For the dynamic extinctions primary extinctions are determined based on the rules of the different extinction scenarios and secondary extinctions occur when the biomass of a species falls below the threshold value of 1e-12. After every primary extinction event (where the biomass of the target species is set to 1e-12) we run 5000 timesteps before the next extinction event to allow for biomass simulations to occur.</w:t>
      </w:r>
    </w:p>
    <w:bookmarkEnd w:id="12"/>
    <w:bookmarkStart w:id="13" w:name="analyses"/>
    <w:p>
      <w:pPr>
        <w:pStyle w:val="Heading2"/>
      </w:pPr>
      <w:r>
        <w:t xml:space="preserve">2.4 Analyses</w:t>
      </w:r>
    </w:p>
    <w:p>
      <w:pPr>
        <w:pStyle w:val="FirstParagraph"/>
      </w:pPr>
      <w:r>
        <w:t xml:space="preserve">For each extinction run we calculate the R50 robustness</w:t>
      </w:r>
      <w:r>
        <w:t xml:space="preserve"> </w:t>
      </w:r>
      <w:r>
        <w:t xml:space="preserve">(Jonsson et al., 2015)</w:t>
      </w:r>
      <w:r>
        <w:t xml:space="preserve"> </w:t>
      </w:r>
      <w:r>
        <w:t xml:space="preserve">as well as the primary and secondary extinction rates. Add breif description of how robustness is calculated. TBD the breakdown of the statistical approaches used to understand the effect of downsampling approach/network type on inferred network robustness and extinction dynamics.</w:t>
      </w:r>
    </w:p>
    <w:bookmarkEnd w:id="13"/>
    <w:bookmarkStart w:id="14"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4"/>
    <w:bookmarkEnd w:id="15"/>
    <w:bookmarkStart w:id="16" w:name="X08ff9f2fd615fe9caf0fc5c74cf6f311d353c32"/>
    <w:p>
      <w:pPr>
        <w:pStyle w:val="Heading1"/>
      </w:pPr>
      <w:r>
        <w:t xml:space="preserve">3. Downsampling approach results in different network structure</w:t>
      </w:r>
    </w:p>
    <w:p>
      <w:pPr>
        <w:pStyle w:val="FirstParagraph"/>
      </w:pPr>
      <w:r>
        <w:t xml:space="preserve">Here we can actually look at the topology and see if the different networks actually look different in multivariate space?</w:t>
      </w:r>
    </w:p>
    <w:bookmarkEnd w:id="16"/>
    <w:bookmarkStart w:id="17" w:name="X62ef15145e52d29c97c229b1712b0ef83451468"/>
    <w:p>
      <w:pPr>
        <w:pStyle w:val="Heading1"/>
      </w:pPr>
      <w:r>
        <w:t xml:space="preserve">4. Differences in inferred robustness of topological and dynamic unaffected by network type</w:t>
      </w:r>
    </w:p>
    <w:p>
      <w:pPr>
        <w:pStyle w:val="FirstParagraph"/>
      </w:pPr>
      <w:r>
        <w:t xml:space="preserve">Still see that topological robustness is more conservative than dynamic extinctions</w:t>
      </w:r>
    </w:p>
    <w:bookmarkEnd w:id="17"/>
    <w:bookmarkStart w:id="18" w:name="X50a9ebe2200241eaca4572295a4a98786f60775"/>
    <w:p>
      <w:pPr>
        <w:pStyle w:val="Heading1"/>
      </w:pPr>
      <w:r>
        <w:t xml:space="preserve">5. Network types result in differences in dynamic extinctions</w:t>
      </w:r>
    </w:p>
    <w:p>
      <w:pPr>
        <w:pStyle w:val="FirstParagraph"/>
      </w:pPr>
      <w:r>
        <w:t xml:space="preserve">Report here about the secondary extinction rates as well as the pairwise contrasts.</w:t>
      </w:r>
    </w:p>
    <w:p>
      <w:pPr>
        <w:pStyle w:val="BodyText"/>
      </w:pPr>
      <w:r>
        <w:t xml:space="preserve">## Relative to the niche model, niche downsampling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18"/>
    <w:bookmarkStart w:id="19" w:name="conclusion"/>
    <w:p>
      <w:pPr>
        <w:pStyle w:val="Heading1"/>
      </w:pPr>
      <w:r>
        <w:t xml:space="preserve">6. Conclusion</w:t>
      </w:r>
    </w:p>
    <w:bookmarkEnd w:id="19"/>
    <w:bookmarkStart w:id="45" w:name="references"/>
    <w:p>
      <w:pPr>
        <w:pStyle w:val="Heading1"/>
      </w:pPr>
      <w:r>
        <w:t xml:space="preserve">References</w:t>
      </w:r>
    </w:p>
    <w:bookmarkStart w:id="44" w:name="refs"/>
    <w:bookmarkStart w:id="21"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20">
        <w:r>
          <w:rPr>
            <w:rStyle w:val="Hyperlink"/>
          </w:rPr>
          <w:t xml:space="preserve">https://doi.org/10.1137/141000671</w:t>
        </w:r>
      </w:hyperlink>
    </w:p>
    <w:bookmarkEnd w:id="21"/>
    <w:bookmarkStart w:id="23"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22">
        <w:r>
          <w:rPr>
            <w:rStyle w:val="Hyperlink"/>
          </w:rPr>
          <w:t xml:space="preserve">https://doi.org/10.1890/0012-9658(2006)87[2411:CBRINF]2.0.CO;2</w:t>
        </w:r>
      </w:hyperlink>
    </w:p>
    <w:bookmarkEnd w:id="23"/>
    <w:bookmarkStart w:id="25"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24">
        <w:r>
          <w:rPr>
            <w:rStyle w:val="Hyperlink"/>
          </w:rPr>
          <w:t xml:space="preserve">https://doi.org/10.1016/j.baae.2011.09.008</w:t>
        </w:r>
      </w:hyperlink>
    </w:p>
    <w:bookmarkEnd w:id="25"/>
    <w:bookmarkStart w:id="27"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26">
        <w:r>
          <w:rPr>
            <w:rStyle w:val="Hyperlink"/>
          </w:rPr>
          <w:t xml:space="preserve">https://doi.org/10.1111/2041-210X.12713</w:t>
        </w:r>
      </w:hyperlink>
    </w:p>
    <w:bookmarkEnd w:id="27"/>
    <w:bookmarkStart w:id="29"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28">
        <w:r>
          <w:rPr>
            <w:rStyle w:val="Hyperlink"/>
          </w:rPr>
          <w:t xml:space="preserve">https://doi.org/10.1111/oik.01588</w:t>
        </w:r>
      </w:hyperlink>
    </w:p>
    <w:bookmarkEnd w:id="29"/>
    <w:bookmarkStart w:id="31"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30">
        <w:r>
          <w:rPr>
            <w:rStyle w:val="Hyperlink"/>
          </w:rPr>
          <w:t xml:space="preserve">https://doi.org/10.64898/2026.02.24.707709</w:t>
        </w:r>
      </w:hyperlink>
      <w:r>
        <w:t xml:space="preserve"> </w:t>
      </w:r>
      <w:r>
        <w:t xml:space="preserve">(Pre-published)</w:t>
      </w:r>
    </w:p>
    <w:bookmarkEnd w:id="31"/>
    <w:bookmarkStart w:id="33"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32">
        <w:r>
          <w:rPr>
            <w:rStyle w:val="Hyperlink"/>
          </w:rPr>
          <w:t xml:space="preserve">https://doi.org/10.1111/2041-210X.14497</w:t>
        </w:r>
      </w:hyperlink>
    </w:p>
    <w:bookmarkEnd w:id="33"/>
    <w:bookmarkStart w:id="35"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34">
        <w:r>
          <w:rPr>
            <w:rStyle w:val="Hyperlink"/>
          </w:rPr>
          <w:t xml:space="preserve">https://www.jstor.org/stable/4096814</w:t>
        </w:r>
      </w:hyperlink>
    </w:p>
    <w:bookmarkEnd w:id="35"/>
    <w:bookmarkStart w:id="3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36">
        <w:r>
          <w:rPr>
            <w:rStyle w:val="Hyperlink"/>
          </w:rPr>
          <w:t xml:space="preserve">https://doi.org/10.1101/2024.01.30.578036</w:t>
        </w:r>
      </w:hyperlink>
      <w:r>
        <w:t xml:space="preserve"> </w:t>
      </w:r>
      <w:r>
        <w:t xml:space="preserve">(Pre-published)</w:t>
      </w:r>
    </w:p>
    <w:bookmarkEnd w:id="37"/>
    <w:bookmarkStart w:id="39"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38">
        <w:r>
          <w:rPr>
            <w:rStyle w:val="Hyperlink"/>
          </w:rPr>
          <w:t xml:space="preserve">https://ecoevorxiv.org/repository/view/11514/</w:t>
        </w:r>
      </w:hyperlink>
    </w:p>
    <w:bookmarkEnd w:id="39"/>
    <w:bookmarkStart w:id="41"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40">
        <w:r>
          <w:rPr>
            <w:rStyle w:val="Hyperlink"/>
          </w:rPr>
          <w:t xml:space="preserve">https://ecoevorxiv.org/repository/view/13495/</w:t>
        </w:r>
      </w:hyperlink>
    </w:p>
    <w:bookmarkEnd w:id="41"/>
    <w:bookmarkStart w:id="43"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42">
        <w:r>
          <w:rPr>
            <w:rStyle w:val="Hyperlink"/>
          </w:rPr>
          <w:t xml:space="preserve">https://doi.org/10.1038/35004572</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16/j.baae.2011.09.008" TargetMode="External" /><Relationship Type="http://schemas.openxmlformats.org/officeDocument/2006/relationships/hyperlink" Id="rId42" Target="https://doi.org/10.1038/35004572" TargetMode="External" /><Relationship Type="http://schemas.openxmlformats.org/officeDocument/2006/relationships/hyperlink" Id="rId36" Target="https://doi.org/10.1101/2024.01.30.578036" TargetMode="External" /><Relationship Type="http://schemas.openxmlformats.org/officeDocument/2006/relationships/hyperlink" Id="rId26" Target="https://doi.org/10.1111/2041-210X.12713" TargetMode="External" /><Relationship Type="http://schemas.openxmlformats.org/officeDocument/2006/relationships/hyperlink" Id="rId32" Target="https://doi.org/10.1111/2041-210X.14497" TargetMode="External" /><Relationship Type="http://schemas.openxmlformats.org/officeDocument/2006/relationships/hyperlink" Id="rId28" Target="https://doi.org/10.1111/oik.01588" TargetMode="External" /><Relationship Type="http://schemas.openxmlformats.org/officeDocument/2006/relationships/hyperlink" Id="rId20" Target="https://doi.org/10.1137/141000671" TargetMode="External" /><Relationship Type="http://schemas.openxmlformats.org/officeDocument/2006/relationships/hyperlink" Id="rId22" Target="https://doi.org/10.1890/0012-9658(2006)87[2411:CBRINF]2.0.CO;2" TargetMode="External" /><Relationship Type="http://schemas.openxmlformats.org/officeDocument/2006/relationships/hyperlink" Id="rId30" Target="https://doi.org/10.64898/2026.02.24.707709" TargetMode="External" /><Relationship Type="http://schemas.openxmlformats.org/officeDocument/2006/relationships/hyperlink" Id="rId38" Target="https://ecoevorxiv.org/repository/view/11514/" TargetMode="External" /><Relationship Type="http://schemas.openxmlformats.org/officeDocument/2006/relationships/hyperlink" Id="rId40" Target="https://ecoevorxiv.org/repository/view/13495/" TargetMode="External" /><Relationship Type="http://schemas.openxmlformats.org/officeDocument/2006/relationships/hyperlink" Id="rId34"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16/j.baae.2011.09.008" TargetMode="External" /><Relationship Type="http://schemas.openxmlformats.org/officeDocument/2006/relationships/hyperlink" Id="rId42" Target="https://doi.org/10.1038/35004572" TargetMode="External" /><Relationship Type="http://schemas.openxmlformats.org/officeDocument/2006/relationships/hyperlink" Id="rId36" Target="https://doi.org/10.1101/2024.01.30.578036" TargetMode="External" /><Relationship Type="http://schemas.openxmlformats.org/officeDocument/2006/relationships/hyperlink" Id="rId26" Target="https://doi.org/10.1111/2041-210X.12713" TargetMode="External" /><Relationship Type="http://schemas.openxmlformats.org/officeDocument/2006/relationships/hyperlink" Id="rId32" Target="https://doi.org/10.1111/2041-210X.14497" TargetMode="External" /><Relationship Type="http://schemas.openxmlformats.org/officeDocument/2006/relationships/hyperlink" Id="rId28" Target="https://doi.org/10.1111/oik.01588" TargetMode="External" /><Relationship Type="http://schemas.openxmlformats.org/officeDocument/2006/relationships/hyperlink" Id="rId20" Target="https://doi.org/10.1137/141000671" TargetMode="External" /><Relationship Type="http://schemas.openxmlformats.org/officeDocument/2006/relationships/hyperlink" Id="rId22" Target="https://doi.org/10.1890/0012-9658(2006)87[2411:CBRINF]2.0.CO;2" TargetMode="External" /><Relationship Type="http://schemas.openxmlformats.org/officeDocument/2006/relationships/hyperlink" Id="rId30" Target="https://doi.org/10.64898/2026.02.24.707709" TargetMode="External" /><Relationship Type="http://schemas.openxmlformats.org/officeDocument/2006/relationships/hyperlink" Id="rId38" Target="https://ecoevorxiv.org/repository/view/11514/" TargetMode="External" /><Relationship Type="http://schemas.openxmlformats.org/officeDocument/2006/relationships/hyperlink" Id="rId40" Target="https://ecoevorxiv.org/repository/view/13495/" TargetMode="External" /><Relationship Type="http://schemas.openxmlformats.org/officeDocument/2006/relationships/hyperlink" Id="rId34"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2026-07-31T12:40:33Z</dcterms:created>
  <dcterms:modified xsi:type="dcterms:W3CDTF">2026-07-31T12:40:33Z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2026-07-31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