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food webs are built shapes how they behave</w:t>
      </w:r>
    </w:p>
    <w:p>
      <w:pPr>
        <w:pStyle w:val="Date"/>
      </w:pPr>
      <w:r>
        <w:t xml:space="preserve">2026-08-13</w:t>
      </w:r>
    </w:p>
    <w:p>
      <w:pPr>
        <w:pStyle w:val="AbstractTitle"/>
      </w:pPr>
      <w:r>
        <w:t xml:space="preserve">Abstract</w:t>
      </w:r>
    </w:p>
    <w:p>
      <w:pPr>
        <w:pStyle w:val="Abstract"/>
      </w:pPr>
      <w:r>
        <w:t xml:space="preserve">Dynamic food-web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2017; Roopnarine, 2006)</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Catchen,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about interaction realisation, alongside networks generated using the Niche and ATN models as additional reference approaches. We then evaluate how these alternative assumptions influence network structure, dynamical burn-in, and extinction responses. Our objective is not to identify an optimal downsampling algorithm, nor to suggest that any single approach provides the correct realised community. Rather, we use network realisation as a proof of concept for integrating empirical interaction pools into dynamic food-web models, asking whether the ecological signatures introduced during network construction remain detectable throughout subsequent dynamical modelling. More broadly, we ask whether realised metawebs 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We used community data from seven locations compiled by</w:t>
      </w:r>
      <w:r>
        <w:t xml:space="preserve"> </w:t>
      </w:r>
      <w:r>
        <w:t xml:space="preserve">Karapunar et al. (2026)</w:t>
      </w:r>
      <w:r>
        <w:t xml:space="preserve">. The dataset comprises community-level trophic data representing potentially interacting taxa across these locations. We used guild-level rather than species-level data to keep network size manageable and within the range examined by</w:t>
      </w:r>
      <w:r>
        <w:t xml:space="preserve"> </w:t>
      </w:r>
      <w:r>
        <w:t xml:space="preserve">Curtsdotter et al. (2011)</w:t>
      </w:r>
      <w:r>
        <w:t xml:space="preserve">. To extend the basal component of the networks and better represent a realised community, we additionally incorporated plankton and zooplankton data from the outputs of the EcoGEnIE models</w:t>
      </w:r>
      <w:r>
        <w:t xml:space="preserve"> </w:t>
      </w:r>
      <w:r>
        <w:t xml:space="preserve">(Ward et al., 2018)</w:t>
      </w:r>
      <w:r>
        <w:t xml:space="preserve"> </w:t>
      </w:r>
      <w:r>
        <w:t xml:space="preserve">used in</w:t>
      </w:r>
      <w:r>
        <w:t xml:space="preserve"> </w:t>
      </w:r>
      <w:r>
        <w:t xml:space="preserve">Karapunar et al. (2026)</w:t>
      </w:r>
      <w:r>
        <w:t xml:space="preserve">. Each location was treated as a community of potentially interacting taxa, with interactions represented at the guild level. We excluded the community from Russia because it contained no intermediate species and was therefore unsuitable for the subsequent network analyses. Detailed descriptions of the underlying community data, including trait assignment, their composition and spatial structure, are provided by</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For the empirical networks, we used the Paleo Food Web Inference Model (PFWIM;</w:t>
      </w:r>
      <w:r>
        <w:t xml:space="preserve"> </w:t>
      </w:r>
      <w:r>
        <w:t xml:space="preserve">Shaw et al. (2024)</w:t>
      </w:r>
      <w:r>
        <w:t xml:space="preserve">) to infer trophic interactions from discrete ecological trait categories. PFWIM applies a set of mechanistic feasibility rules to consumer–resource pairs, with an interaction inferred only when the relevant trait combinations satisfy the specified rules. To maximise the breadth of plausible interactions given the available trait data, we used fully categorical rules rather than imposing more restrictive continuous or quantitative thresholds. The resulting PFWIM networks were used as community-specific metawebs, from which networks were subsequently downsampled to specified target connectances (see</w:t>
      </w:r>
      <w:r>
        <w:t xml:space="preserve"> </w:t>
      </w:r>
      <w:hyperlink w:anchor="sec-downsample">
        <w:r>
          <w:rPr>
            <w:rStyle w:val="Hyperlink"/>
          </w:rPr>
          <w:t xml:space="preserve">Section 2.3</w:t>
        </w:r>
      </w:hyperlink>
      <w:r>
        <w:t xml:space="preserve"> </w:t>
      </w:r>
      <w:r>
        <w:t xml:space="preserve">for details on downsampling).</w:t>
      </w:r>
    </w:p>
    <w:p>
      <w:pPr>
        <w:pStyle w:val="BodyText"/>
      </w:pPr>
      <w:r>
        <w:t xml:space="preserve">We additionally generated niche-model networks parameterised using the species richness and target connectance of each community</w:t>
      </w:r>
      <w:r>
        <w:t xml:space="preserve"> </w:t>
      </w:r>
      <w:r>
        <w:t xml:space="preserve">(Williams &amp; Martinez, 2000)</w:t>
      </w:r>
      <w:r>
        <w:t xml:space="preserve">. Finally, we constructed allometric trophic network (ATN) model</w:t>
      </w:r>
      <w:r>
        <w:t xml:space="preserve"> </w:t>
      </w:r>
      <w:r>
        <w:t xml:space="preserve">(Brose et al., 2006)</w:t>
      </w:r>
      <w:r>
        <w:t xml:space="preserve">, providing a complementary mechanistic representation of trophic interactions based on consumer–resource body-size relationships.</w:t>
      </w:r>
    </w:p>
    <w:bookmarkEnd w:id="11"/>
    <w:bookmarkStart w:id="16" w:name="sec-downsample"/>
    <w:p>
      <w:pPr>
        <w:pStyle w:val="Heading2"/>
      </w:pPr>
      <w:r>
        <w:t xml:space="preserve">2.3 Downsampling approaches</w:t>
      </w:r>
    </w:p>
    <w:p>
      <w:pPr>
        <w:pStyle w:val="FirstParagraph"/>
      </w:pPr>
      <w:r>
        <w:t xml:space="preserve">We treat downsampling as a process of ecological realisation 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but were only used in the construction of the ATNs; 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3"/>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the niche model, while also suggesting that the burn-in phase is, in and of itself, an additional network realisation step. Notably, the two realised models (niche model and ATN) do not behave similarly and still end up at different</w:t>
      </w:r>
      <w:r>
        <w:t xml:space="preserve"> </w:t>
      </w:r>
      <w:r>
        <w:t xml:space="preserve">‘end points’</w:t>
      </w:r>
      <w:r>
        <w:t xml:space="preserve"> </w:t>
      </w:r>
      <w:r>
        <w:t xml:space="preserve">following burn-in compared with the empirical webs, highlighting that network reconstruction approach will still have a strong effect on the inferred dynamics and behaviour of the system</w:t>
      </w:r>
      <w:r>
        <w:t xml:space="preserve"> </w:t>
      </w:r>
      <w:r>
        <w:t xml:space="preserve">(Strydom, Karapunar, et al., 2026)</w:t>
      </w:r>
      <w:r>
        <w:t xml:space="preserve">.</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within extinction time point,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Clusters.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2"/>
        </w:tc>
      </w:tr>
    </w:tbl>
    <w:p>
      <w:pPr>
        <w:pStyle w:val="BodyText"/>
      </w:pPr>
      <w:r>
        <w:t xml:space="preserve">In terms of topological robustness, empirically derived networks consistently formed a distinct cluster separate from the two synthetic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networks shifted to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some of the key functional parameters, including metabolic and consumption rates</w:t>
      </w:r>
      <w:r>
        <w:t xml:space="preserve"> </w:t>
      </w:r>
      <w:r>
        <w:t xml:space="preserve">(Delmas et al., 2017)</w:t>
      </w:r>
      <w:r>
        <w:t xml:space="preserve">, and it is therefore plausible that these differences contribute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 it was not by itself sufficient to determine dynamic robustness.</w:t>
      </w:r>
    </w:p>
    <w:p>
      <w:pPr>
        <w:pStyle w:val="BodyText"/>
      </w:pPr>
      <w:r>
        <w:t xml:space="preserve">This raises an important question about the role of network connectance: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approaches full connectivity. At low connectance, we therefore expect a much larger number of possible network configurations, meaning that specifying connectance alone places relatively weak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3"/>
    <w:bookmarkStart w:id="34" w:name="conclusions"/>
    <w:p>
      <w:pPr>
        <w:pStyle w:val="Heading1"/>
      </w:pPr>
      <w:r>
        <w:t xml:space="preserve">5.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tractable food webs from the same empirical metaweb, but that the resulting networks retain detectable signatures of the assumptions used during their construction. These differences become increasingly pronounced as greater proportions of interactions are removed, indicating that network reconstruction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given its assumptions about biomass, interaction strengths, and species persistence. The ecological behaviour of a simulated community is therefore shaped by successive filters - first, how potential interactions are realised into a network, and second, how that network is realised as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inferred greater robustness than dynamic simulations, consistent with previous work</w:t>
      </w:r>
      <w:r>
        <w:t xml:space="preserve"> </w:t>
      </w:r>
      <w:r>
        <w:t xml:space="preserve">(Curtsdotter et al., 2011)</w:t>
      </w:r>
      <w:r>
        <w:t xml:space="preserve">. Thus, some conclusions drawn from network topology may be relatively robust to uncertainty in network reconstruction.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r>
        <w:t xml:space="preserve"> </w:t>
      </w:r>
      <w:r>
        <w:t xml:space="preserve">(Brimacombe et al., 2023; Strydom, Karapunar,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upon which those equations operate. Understanding and quantifying this additional layer of uncertainty will be essential if dynamic food-web models are to provide increasingly empirical predictions of how ecological communities respond to environmental change.</w:t>
      </w:r>
    </w:p>
    <w:bookmarkEnd w:id="34"/>
    <w:bookmarkStart w:id="84" w:name="references"/>
    <w:p>
      <w:pPr>
        <w:pStyle w:val="Heading1"/>
      </w:pPr>
      <w:r>
        <w:t xml:space="preserve">References</w:t>
      </w:r>
    </w:p>
    <w:bookmarkStart w:id="83" w:name="refs"/>
    <w:bookmarkStart w:id="3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5">
        <w:r>
          <w:rPr>
            <w:rStyle w:val="Hyperlink"/>
          </w:rPr>
          <w:t xml:space="preserve">https://doi.org/10.1137/141000671</w:t>
        </w:r>
      </w:hyperlink>
    </w:p>
    <w:bookmarkEnd w:id="36"/>
    <w:bookmarkStart w:id="38"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7">
        <w:r>
          <w:rPr>
            <w:rStyle w:val="Hyperlink"/>
          </w:rPr>
          <w:t xml:space="preserve">https://doi.org/10.1371/journal.pbio.3002068</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1">
        <w:r>
          <w:rPr>
            <w:rStyle w:val="Hyperlink"/>
          </w:rPr>
          <w:t xml:space="preserve">https://doi.org/10.1098/rspb.1985.0042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2"/>
    <w:bookmarkStart w:id="6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3">
        <w:r>
          <w:rPr>
            <w:rStyle w:val="Hyperlink"/>
          </w:rPr>
          <w:t xml:space="preserve">https://www.jstor.org/stable/4096814</w:t>
        </w:r>
      </w:hyperlink>
    </w:p>
    <w:bookmarkEnd w:id="64"/>
    <w:bookmarkStart w:id="66"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5">
        <w:r>
          <w:rPr>
            <w:rStyle w:val="Hyperlink"/>
          </w:rPr>
          <w:t xml:space="preserve">https://doi.org/10.1101/2024.01.30.578036</w:t>
        </w:r>
      </w:hyperlink>
      <w:r>
        <w:t xml:space="preserve"> </w:t>
      </w:r>
      <w:r>
        <w:t xml:space="preserve">(Pre-published)</w:t>
      </w:r>
    </w:p>
    <w:bookmarkEnd w:id="66"/>
    <w:bookmarkStart w:id="68"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7">
        <w:r>
          <w:rPr>
            <w:rStyle w:val="Hyperlink"/>
          </w:rPr>
          <w:t xml:space="preserve">https://doi.org/10.1111/2041-210X.13835</w:t>
        </w:r>
      </w:hyperlink>
    </w:p>
    <w:bookmarkEnd w:id="68"/>
    <w:bookmarkStart w:id="7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9">
        <w:r>
          <w:rPr>
            <w:rStyle w:val="Hyperlink"/>
          </w:rPr>
          <w:t xml:space="preserve">https://doi.org/10.1098/rstb.2021.0063</w:t>
        </w:r>
      </w:hyperlink>
    </w:p>
    <w:bookmarkEnd w:id="70"/>
    <w:bookmarkStart w:id="72"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1">
        <w:r>
          <w:rPr>
            <w:rStyle w:val="Hyperlink"/>
          </w:rPr>
          <w:t xml:space="preserve">https://doi.org/10.3389/fevo.2021.623141</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food webs are built shapes how they behave</dc:title>
  <dc:creator/>
  <cp:keywords>food webs, ecological networks, network reconstruction, network realisation, metawebs, dynamical modelling, extinction cascades, ecological model uncertainty</cp:keywords>
  <dcterms:created xsi:type="dcterms:W3CDTF">2026-08-13T12:08:22Z</dcterms:created>
  <dcterms:modified xsi:type="dcterms:W3CDTF">2026-08-13T12:08:22Z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2026-08-13</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