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2026-08-03</w:t>
      </w:r>
    </w:p>
    <w:p>
      <w:pPr>
        <w:pStyle w:val="AbstractTitle"/>
      </w:pPr>
      <w:r>
        <w:t xml:space="preserve">Abstract</w:t>
      </w:r>
    </w:p>
    <w:p>
      <w:pPr>
        <w:pStyle w:val="Abstract"/>
      </w:pPr>
      <w:r>
        <w:t xml:space="preserve">TODO</w:t>
      </w:r>
    </w:p>
    <w:bookmarkStart w:id="20"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20"/>
    <w:bookmarkStart w:id="30" w:name="methods"/>
    <w:p>
      <w:pPr>
        <w:pStyle w:val="Heading1"/>
      </w:pPr>
      <w:r>
        <w:t xml:space="preserve">2. Methods</w:t>
      </w:r>
    </w:p>
    <w:bookmarkStart w:id="21"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21"/>
    <w:bookmarkStart w:id="22"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22"/>
    <w:bookmarkStart w:id="27" w:name="downsampling-approaches"/>
    <w:p>
      <w:pPr>
        <w:pStyle w:val="Heading2"/>
      </w:pPr>
      <w:r>
        <w:t xml:space="preserve">2.3 ##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23" w:name="niche"/>
    <w:p>
      <w:pPr>
        <w:pStyle w:val="Heading3"/>
      </w:pPr>
      <w:r>
        <w:t xml:space="preserve">2.3.1 Niche</w:t>
      </w:r>
    </w:p>
    <w:p>
      <w:pPr>
        <w:pStyle w:val="FirstParagraph"/>
      </w:pPr>
      <w:r>
        <w:t xml:space="preserve">The niche approach assumes that realised interactions represent the core of a consumer’s trophic niche. A one-dimensional latent niche axis,</w:t>
      </w:r>
      <w:r>
        <w:t xml:space="preserve"> </w:t>
      </w:r>
      <m:oMath>
        <m:sSub>
          <m:e>
            <m:r>
              <m:t>x</m:t>
            </m:r>
          </m:e>
          <m:sub>
            <m:r>
              <m:t>i</m:t>
            </m:r>
          </m:sub>
        </m:sSub>
      </m:oMath>
      <w:r>
        <w:t xml:space="preserve">, is first estimated from the interaction matrix using the leading singular vectors of the Singular Value Decomposition (SVD). 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d>
                <m:dPr>
                  <m:begChr m:val="("/>
                  <m:sepChr m:val=""/>
                  <m:endChr m:val=")"/>
                  <m:grow/>
                </m:dPr>
                <m:e>
                  <m:sSub>
                    <m:e>
                      <m:r>
                        <m:t>x</m:t>
                      </m:r>
                    </m:e>
                    <m:sub>
                      <m:r>
                        <m:t>j</m:t>
                      </m:r>
                    </m:sub>
                  </m:sSub>
                </m:e>
              </m:d>
              <m:r>
                <m:rPr>
                  <m:sty m:val="p"/>
                </m:rPr>
                <m:t>,</m:t>
              </m:r>
              <m:r>
                <m:t> </m:t>
              </m:r>
              <m:r>
                <m:t>0.1</m:t>
              </m:r>
            </m:e>
          </m:d>
          <m:r>
            <m:rPr>
              <m:sty m:val="p"/>
            </m:rPr>
            <m:t>,</m:t>
          </m:r>
        </m:oMath>
      </m:oMathPara>
    </w:p>
    <w:p>
      <w:pPr>
        <w:pStyle w:val="FirstParagraph"/>
      </w:pPr>
      <w:r>
        <w:t xml:space="preserve">it is also possible to scale the niche breadth to further constrain niche breadth,</w:t>
      </w:r>
    </w:p>
    <w:p>
      <w:pPr>
        <w:pStyle w:val="BodyText"/>
      </w:pPr>
      <m:oMathPara>
        <m:oMathParaPr>
          <m:jc m:val="center"/>
        </m:oMathParaPr>
        <m:oMath>
          <m:sSub>
            <m:e>
              <m:r>
                <m:t>σ</m:t>
              </m:r>
            </m:e>
            <m:sub>
              <m:r>
                <m:t>i</m:t>
              </m:r>
            </m:sub>
          </m:sSub>
          <m:r>
            <m:rPr>
              <m:sty m:val="p"/>
            </m:rPr>
            <m:t>′</m:t>
          </m:r>
          <m:r>
            <m:rPr>
              <m:sty m:val="p"/>
            </m:rPr>
            <m:t>=</m:t>
          </m:r>
          <m:r>
            <m:t>α</m:t>
          </m:r>
          <m:sSub>
            <m:e>
              <m:r>
                <m:t>σ</m:t>
              </m:r>
            </m:e>
            <m:sub>
              <m:r>
                <m:t>i</m:t>
              </m:r>
            </m:sub>
          </m:sSub>
          <m:r>
            <m:rPr>
              <m:sty m:val="p"/>
            </m:rPr>
            <m:t>.</m:t>
          </m:r>
        </m:oMath>
      </m:oMathPara>
    </w:p>
    <w:p>
      <w:pPr>
        <w:pStyle w:val="FirstParagraph"/>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
                            <m:e>
                              <m:r>
                                <m:t>σ</m:t>
                              </m:r>
                            </m:e>
                            <m:sub>
                              <m:r>
                                <m:t>i</m:t>
                              </m:r>
                            </m:sub>
                          </m:sSub>
                          <m:r>
                            <m:rPr>
                              <m:sty m:val="p"/>
                            </m:rPr>
                            <m:t>′</m:t>
                          </m:r>
                        </m:den>
                      </m:f>
                    </m:e>
                  </m:d>
                </m:e>
                <m:sup>
                  <m:r>
                    <m:t>2</m:t>
                  </m:r>
                </m:sup>
              </m:sSup>
            </m:e>
          </m:d>
          <m:r>
            <m:rPr>
              <m:sty m:val="p"/>
            </m:rPr>
            <m:t>.</m:t>
          </m:r>
        </m:oMath>
      </m:oMathPara>
    </w:p>
    <w:p>
      <w:pPr>
        <w:pStyle w:val="FirstParagraph"/>
      </w:pPr>
      <w:r>
        <w:t xml:space="preserve">Interactions closest to the consumer’s niche centre are therefore most likely to be realised,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23"/>
    <w:bookmarkStart w:id="24"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d>
                <m:dPr>
                  <m:begChr m:val="("/>
                  <m:sepChr m:val=""/>
                  <m:endChr m:val=")"/>
                  <m:grow/>
                </m:dPr>
                <m:e>
                  <m:r>
                    <m:t>y</m:t>
                  </m:r>
                  <m:r>
                    <m:rPr>
                      <m:sty m:val="p"/>
                    </m:rPr>
                    <m:t>−</m:t>
                  </m:r>
                  <m:r>
                    <m:t>1</m:t>
                  </m:r>
                </m:e>
              </m:d>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24"/>
    <w:bookmarkStart w:id="25"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d>
                <m:dPr>
                  <m:begChr m:val="("/>
                  <m:sepChr m:val=""/>
                  <m:endChr m:val=")"/>
                  <m:grow/>
                </m:dPr>
                <m:e>
                  <m:r>
                    <m:t>w</m:t>
                  </m:r>
                </m:e>
              </m:d>
            </m:den>
          </m:f>
          <m:r>
            <m:rPr>
              <m:sty m:val="p"/>
            </m:rPr>
            <m:t>,</m:t>
          </m:r>
        </m:oMath>
      </m:oMathPara>
    </w:p>
    <w:p>
      <w:pPr>
        <w:pStyle w:val="FirstParagraph"/>
      </w:pPr>
      <w:r>
        <w:t xml:space="preserve">before being constrained to the interval</w:t>
      </w:r>
      <w:r>
        <w:t xml:space="preserve"> </w:t>
      </w:r>
      <m:oMath>
        <m:d>
          <m:dPr>
            <m:begChr m:val="["/>
            <m:sepChr m:val=""/>
            <m:endChr m:val="]"/>
            <m:grow/>
          </m:dPr>
          <m:e>
            <m:r>
              <m:t>0</m:t>
            </m:r>
            <m:r>
              <m:rPr>
                <m:sty m:val="p"/>
              </m:rPr>
              <m:t>,</m:t>
            </m:r>
            <m:r>
              <m:t>1</m:t>
            </m:r>
          </m:e>
        </m:d>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25"/>
    <w:bookmarkStart w:id="26"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26"/>
    <w:bookmarkEnd w:id="27"/>
    <w:bookmarkStart w:id="28"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28"/>
    <w:bookmarkStart w:id="29"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29"/>
    <w:bookmarkEnd w:id="30"/>
    <w:bookmarkStart w:id="31" w:name="X436f2f1d2c79ced437fcadb21e6ae24cd67a208"/>
    <w:p>
      <w:pPr>
        <w:pStyle w:val="Heading1"/>
      </w:pPr>
      <w:r>
        <w:t xml:space="preserve">3. Downsampling approaches generate distinct network structures</w:t>
      </w:r>
    </w:p>
    <w:p>
      <w:pPr>
        <w:pStyle w:val="FirstParagraph"/>
      </w:pPr>
      <w:r>
        <w:t xml:space="preserve">Here we can actually look at the topology and see if the different networks actually look different in multivariate space? Despite similar target connectance and richness, networks differed strongly in higher-order structure.</w:t>
      </w:r>
    </w:p>
    <w:bookmarkEnd w:id="31"/>
    <w:bookmarkStart w:id="32" w:name="X62ef15145e52d29c97c229b1712b0ef83451468"/>
    <w:p>
      <w:pPr>
        <w:pStyle w:val="Heading1"/>
      </w:pPr>
      <w:r>
        <w:t xml:space="preserve">4. Differences in inferred robustness of topological and dynamic unaffected by network type</w:t>
      </w:r>
    </w:p>
    <w:p>
      <w:pPr>
        <w:pStyle w:val="FirstParagraph"/>
      </w:pPr>
      <w:r>
        <w:t xml:space="preserve">Still see that topological robustness is more conservative than dynamic extinctions</w:t>
      </w:r>
    </w:p>
    <w:bookmarkEnd w:id="32"/>
    <w:bookmarkStart w:id="45" w:name="Xf80b93725e354d718d9344b1cbb51abd26f5b39"/>
    <w:p>
      <w:pPr>
        <w:pStyle w:val="Heading1"/>
      </w:pPr>
      <w:r>
        <w:t xml:space="preserve">5. Network type alters the propagation of dynamical extinctions</w:t>
      </w:r>
    </w:p>
    <w:p>
      <w:pPr>
        <w:pStyle w:val="FirstParagraph"/>
      </w:pPr>
      <w:r>
        <w:t xml:space="preserve">Report here about the secondary extinction rates as well as the pairwise contrasts.</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334000" cy="2133599"/>
                  <wp:effectExtent b="0" l="0" r="0" t="0"/>
                  <wp:docPr descr="" title="" id="34" name="Picture"/>
                  <a:graphic>
                    <a:graphicData uri="http://schemas.openxmlformats.org/drawingml/2006/picture">
                      <pic:pic>
                        <pic:nvPicPr>
                          <pic:cNvPr descr="figures/paleo_primVsec.png" id="35" name="Picture"/>
                          <pic:cNvPicPr>
                            <a:picLocks noChangeArrowheads="1" noChangeAspect="1"/>
                          </pic:cNvPicPr>
                        </pic:nvPicPr>
                        <pic:blipFill>
                          <a:blip r:embed="rId33"/>
                          <a:stretch>
                            <a:fillRect/>
                          </a:stretch>
                        </pic:blipFill>
                        <pic:spPr bwMode="auto">
                          <a:xfrm>
                            <a:off x="0" y="0"/>
                            <a:ext cx="5334000" cy="2133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TODO</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2"/>
          <w:p>
            <w:pPr>
              <w:pStyle w:val="Compact"/>
              <w:jc w:val="center"/>
            </w:pPr>
            <w:r>
              <w:drawing>
                <wp:inline>
                  <wp:extent cx="5334000" cy="4267200"/>
                  <wp:effectExtent b="0" l="0" r="0" t="0"/>
                  <wp:docPr descr="" title="" id="38" name="Picture"/>
                  <a:graphic>
                    <a:graphicData uri="http://schemas.openxmlformats.org/drawingml/2006/picture">
                      <pic:pic>
                        <pic:nvPicPr>
                          <pic:cNvPr descr="figures/rob_contrasts.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TODO</w:t>
            </w:r>
          </w:p>
          <w:bookmarkEnd w:id="4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 w:name="fig-3"/>
          <w:p>
            <w:pPr>
              <w:pStyle w:val="Compact"/>
              <w:jc w:val="center"/>
            </w:pPr>
            <w:r>
              <w:drawing>
                <wp:inline>
                  <wp:extent cx="5334000" cy="3556000"/>
                  <wp:effectExtent b="0" l="0" r="0" t="0"/>
                  <wp:docPr descr="" title="" id="42" name="Picture"/>
                  <a:graphic>
                    <a:graphicData uri="http://schemas.openxmlformats.org/drawingml/2006/picture">
                      <pic:pic>
                        <pic:nvPicPr>
                          <pic:cNvPr descr="figures/rob_prop_indistinguishable.png" id="43" name="Picture"/>
                          <pic:cNvPicPr>
                            <a:picLocks noChangeArrowheads="1" noChangeAspect="1"/>
                          </pic:cNvPicPr>
                        </pic:nvPicPr>
                        <pic:blipFill>
                          <a:blip r:embed="rId4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44"/>
        </w:tc>
      </w:tr>
    </w:tbl>
    <w:p>
      <w:pPr>
        <w:pStyle w:val="BodyText"/>
      </w:pPr>
      <w:r>
        <w:t xml:space="preserve">## Relative to the niche model, niche downsampling is the closest match</w:t>
      </w:r>
    </w:p>
    <w:p>
      <w:pPr>
        <w:pStyle w:val="BodyText"/>
      </w:pPr>
      <w:r>
        <w:t xml:space="preserve">Most often the ones to not be different from each other. Worth pointing out that the ATN behaves very differently as well. So again we are back at are we modelling network or model behaviour</w:t>
      </w:r>
      <w:r>
        <w:t xml:space="preserve"> </w:t>
      </w:r>
      <w:r>
        <w:t xml:space="preserve">(Strydom, Karapunar, et al., 2026)</w:t>
      </w:r>
    </w:p>
    <w:bookmarkEnd w:id="45"/>
    <w:bookmarkStart w:id="46" w:name="conclusion"/>
    <w:p>
      <w:pPr>
        <w:pStyle w:val="Heading1"/>
      </w:pPr>
      <w:r>
        <w:t xml:space="preserve">6. Conclusion</w:t>
      </w:r>
    </w:p>
    <w:bookmarkEnd w:id="46"/>
    <w:bookmarkStart w:id="72" w:name="references"/>
    <w:p>
      <w:pPr>
        <w:pStyle w:val="Heading1"/>
      </w:pPr>
      <w:r>
        <w:t xml:space="preserve">References</w:t>
      </w:r>
    </w:p>
    <w:bookmarkStart w:id="71" w:name="refs"/>
    <w:bookmarkStart w:id="48"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47">
        <w:r>
          <w:rPr>
            <w:rStyle w:val="Hyperlink"/>
          </w:rPr>
          <w:t xml:space="preserve">https://doi.org/10.1137/141000671</w:t>
        </w:r>
      </w:hyperlink>
    </w:p>
    <w:bookmarkEnd w:id="48"/>
    <w:bookmarkStart w:id="5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9">
        <w:r>
          <w:rPr>
            <w:rStyle w:val="Hyperlink"/>
          </w:rPr>
          <w:t xml:space="preserve">https://doi.org/10.1890/0012-9658(2006)87[2411:CBRINF]2.0.CO;2</w:t>
        </w:r>
      </w:hyperlink>
    </w:p>
    <w:bookmarkEnd w:id="50"/>
    <w:bookmarkStart w:id="52"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51">
        <w:r>
          <w:rPr>
            <w:rStyle w:val="Hyperlink"/>
          </w:rPr>
          <w:t xml:space="preserve">https://doi.org/10.1016/j.baae.2011.09.008</w:t>
        </w:r>
      </w:hyperlink>
    </w:p>
    <w:bookmarkEnd w:id="52"/>
    <w:bookmarkStart w:id="54"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53">
        <w:r>
          <w:rPr>
            <w:rStyle w:val="Hyperlink"/>
          </w:rPr>
          <w:t xml:space="preserve">https://doi.org/10.1111/2041-210X.12713</w:t>
        </w:r>
      </w:hyperlink>
    </w:p>
    <w:bookmarkEnd w:id="54"/>
    <w:bookmarkStart w:id="56"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5">
        <w:r>
          <w:rPr>
            <w:rStyle w:val="Hyperlink"/>
          </w:rPr>
          <w:t xml:space="preserve">https://doi.org/10.1111/oik.01588</w:t>
        </w:r>
      </w:hyperlink>
    </w:p>
    <w:bookmarkEnd w:id="56"/>
    <w:bookmarkStart w:id="58"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7">
        <w:r>
          <w:rPr>
            <w:rStyle w:val="Hyperlink"/>
          </w:rPr>
          <w:t xml:space="preserve">https://doi.org/10.64898/2026.02.24.707709</w:t>
        </w:r>
      </w:hyperlink>
      <w:r>
        <w:t xml:space="preserve"> </w:t>
      </w:r>
      <w:r>
        <w:t xml:space="preserve">(Pre-published)</w:t>
      </w:r>
    </w:p>
    <w:bookmarkEnd w:id="58"/>
    <w:bookmarkStart w:id="60"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9">
        <w:r>
          <w:rPr>
            <w:rStyle w:val="Hyperlink"/>
          </w:rPr>
          <w:t xml:space="preserve">https://doi.org/10.1111/2041-210X.14497</w:t>
        </w:r>
      </w:hyperlink>
    </w:p>
    <w:bookmarkEnd w:id="60"/>
    <w:bookmarkStart w:id="62"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1">
        <w:r>
          <w:rPr>
            <w:rStyle w:val="Hyperlink"/>
          </w:rPr>
          <w:t xml:space="preserve">https://www.jstor.org/stable/4096814</w:t>
        </w:r>
      </w:hyperlink>
    </w:p>
    <w:bookmarkEnd w:id="62"/>
    <w:bookmarkStart w:id="64"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3">
        <w:r>
          <w:rPr>
            <w:rStyle w:val="Hyperlink"/>
          </w:rPr>
          <w:t xml:space="preserve">https://doi.org/10.1101/2024.01.30.578036</w:t>
        </w:r>
      </w:hyperlink>
      <w:r>
        <w:t xml:space="preserve"> </w:t>
      </w:r>
      <w:r>
        <w:t xml:space="preserve">(Pre-published)</w:t>
      </w:r>
    </w:p>
    <w:bookmarkEnd w:id="64"/>
    <w:bookmarkStart w:id="66"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5">
        <w:r>
          <w:rPr>
            <w:rStyle w:val="Hyperlink"/>
          </w:rPr>
          <w:t xml:space="preserve">https://ecoevorxiv.org/repository/view/11514/</w:t>
        </w:r>
      </w:hyperlink>
    </w:p>
    <w:bookmarkEnd w:id="66"/>
    <w:bookmarkStart w:id="68"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67">
        <w:r>
          <w:rPr>
            <w:rStyle w:val="Hyperlink"/>
          </w:rPr>
          <w:t xml:space="preserve">https://ecoevorxiv.org/repository/view/13495/</w:t>
        </w:r>
      </w:hyperlink>
    </w:p>
    <w:bookmarkEnd w:id="68"/>
    <w:bookmarkStart w:id="7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69">
        <w:r>
          <w:rPr>
            <w:rStyle w:val="Hyperlink"/>
          </w:rPr>
          <w:t xml:space="preserve">https://doi.org/10.1038/35004572</w:t>
        </w:r>
      </w:hyperlink>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hyperlink" Id="rId51" Target="https://doi.org/10.1016/j.baae.2011.09.008" TargetMode="External" /><Relationship Type="http://schemas.openxmlformats.org/officeDocument/2006/relationships/hyperlink" Id="rId69" Target="https://doi.org/10.1038/35004572" TargetMode="External" /><Relationship Type="http://schemas.openxmlformats.org/officeDocument/2006/relationships/hyperlink" Id="rId63" Target="https://doi.org/10.1101/2024.01.30.578036" TargetMode="External" /><Relationship Type="http://schemas.openxmlformats.org/officeDocument/2006/relationships/hyperlink" Id="rId53" Target="https://doi.org/10.1111/2041-210X.12713" TargetMode="External" /><Relationship Type="http://schemas.openxmlformats.org/officeDocument/2006/relationships/hyperlink" Id="rId59" Target="https://doi.org/10.1111/2041-210X.14497" TargetMode="External" /><Relationship Type="http://schemas.openxmlformats.org/officeDocument/2006/relationships/hyperlink" Id="rId55" Target="https://doi.org/10.1111/oik.01588" TargetMode="External" /><Relationship Type="http://schemas.openxmlformats.org/officeDocument/2006/relationships/hyperlink" Id="rId47" Target="https://doi.org/10.1137/141000671" TargetMode="External" /><Relationship Type="http://schemas.openxmlformats.org/officeDocument/2006/relationships/hyperlink" Id="rId49" Target="https://doi.org/10.1890/0012-9658(2006)87[2411:CBRINF]2.0.CO;2" TargetMode="External" /><Relationship Type="http://schemas.openxmlformats.org/officeDocument/2006/relationships/hyperlink" Id="rId57" Target="https://doi.org/10.64898/2026.02.24.707709" TargetMode="External" /><Relationship Type="http://schemas.openxmlformats.org/officeDocument/2006/relationships/hyperlink" Id="rId65" Target="https://ecoevorxiv.org/repository/view/11514/" TargetMode="External" /><Relationship Type="http://schemas.openxmlformats.org/officeDocument/2006/relationships/hyperlink" Id="rId67" Target="https://ecoevorxiv.org/repository/view/13495/" TargetMode="External" /><Relationship Type="http://schemas.openxmlformats.org/officeDocument/2006/relationships/hyperlink" Id="rId61"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16/j.baae.2011.09.008" TargetMode="External" /><Relationship Type="http://schemas.openxmlformats.org/officeDocument/2006/relationships/hyperlink" Id="rId69" Target="https://doi.org/10.1038/35004572" TargetMode="External" /><Relationship Type="http://schemas.openxmlformats.org/officeDocument/2006/relationships/hyperlink" Id="rId63" Target="https://doi.org/10.1101/2024.01.30.578036" TargetMode="External" /><Relationship Type="http://schemas.openxmlformats.org/officeDocument/2006/relationships/hyperlink" Id="rId53" Target="https://doi.org/10.1111/2041-210X.12713" TargetMode="External" /><Relationship Type="http://schemas.openxmlformats.org/officeDocument/2006/relationships/hyperlink" Id="rId59" Target="https://doi.org/10.1111/2041-210X.14497" TargetMode="External" /><Relationship Type="http://schemas.openxmlformats.org/officeDocument/2006/relationships/hyperlink" Id="rId55" Target="https://doi.org/10.1111/oik.01588" TargetMode="External" /><Relationship Type="http://schemas.openxmlformats.org/officeDocument/2006/relationships/hyperlink" Id="rId47" Target="https://doi.org/10.1137/141000671" TargetMode="External" /><Relationship Type="http://schemas.openxmlformats.org/officeDocument/2006/relationships/hyperlink" Id="rId49" Target="https://doi.org/10.1890/0012-9658(2006)87[2411:CBRINF]2.0.CO;2" TargetMode="External" /><Relationship Type="http://schemas.openxmlformats.org/officeDocument/2006/relationships/hyperlink" Id="rId57" Target="https://doi.org/10.64898/2026.02.24.707709" TargetMode="External" /><Relationship Type="http://schemas.openxmlformats.org/officeDocument/2006/relationships/hyperlink" Id="rId65" Target="https://ecoevorxiv.org/repository/view/11514/" TargetMode="External" /><Relationship Type="http://schemas.openxmlformats.org/officeDocument/2006/relationships/hyperlink" Id="rId67" Target="https://ecoevorxiv.org/repository/view/13495/" TargetMode="External" /><Relationship Type="http://schemas.openxmlformats.org/officeDocument/2006/relationships/hyperlink" Id="rId61"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2026-08-03T10:00:21Z</dcterms:created>
  <dcterms:modified xsi:type="dcterms:W3CDTF">2026-08-03T10:00:21Z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2026-08-03</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