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Fake tales of bodymass models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TODO.</w:t>
      </w:r>
    </w:p>
    <w:p>
      <w:pPr>
        <w:pStyle w:val="Compact"/>
        <w:numPr>
          <w:ilvl w:val="0"/>
          <w:numId w:val="1001"/>
        </w:numPr>
      </w:pPr>
      <w:r>
        <w:t xml:space="preserve">Body-size-based allometric trophic network (ATN)</w:t>
      </w:r>
      <w:r>
        <w:t xml:space="preserve"> </w:t>
      </w:r>
      <w:r>
        <w:t xml:space="preserve">(Brose et al., 2006)</w:t>
      </w:r>
      <w:r>
        <w:t xml:space="preserve"> </w:t>
      </w:r>
      <w:r>
        <w:t xml:space="preserve">models predict interactions from consumer–resource size relationships.</w:t>
      </w:r>
    </w:p>
    <w:p>
      <w:pPr>
        <w:pStyle w:val="Compact"/>
        <w:numPr>
          <w:ilvl w:val="0"/>
          <w:numId w:val="1001"/>
        </w:numPr>
      </w:pPr>
      <w:r>
        <w:t xml:space="preserve">However, body size is only one determinant of trophic interactions; other traits and ecological constraints may be important.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Aim:</w:t>
      </w:r>
      <w:r>
        <w:t xml:space="preserve"> </w:t>
      </w:r>
      <w:r>
        <w:t xml:space="preserve">quantify how often body-size-based ATN models predict interactions absent from empirical metawebs, and test whether network structure can nevertheless be recovered.</w:t>
      </w:r>
    </w:p>
    <w:p>
      <w:pPr>
        <w:pStyle w:val="Compact"/>
        <w:numPr>
          <w:ilvl w:val="0"/>
          <w:numId w:val="1001"/>
        </w:numPr>
      </w:pPr>
      <w:r>
        <w:t xml:space="preserve">Prediction: ATN models will generate a high proportion of forbidden interactions, even when their broad structural properties resemble those of empirical metawebs.</w:t>
      </w:r>
    </w:p>
    <w:bookmarkStart w:id="9" w:name="template-metawebs"/>
    <w:p>
      <w:pPr>
        <w:pStyle w:val="Heading2"/>
      </w:pPr>
      <w:r>
        <w:t xml:space="preserve">Template metawebs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Great Britain:</w:t>
      </w:r>
      <w:r>
        <w:t xml:space="preserve"> </w:t>
      </w:r>
      <w:r>
        <w:t xml:space="preserve">European metaweb</w:t>
      </w:r>
      <w:r>
        <w:t xml:space="preserve"> </w:t>
      </w:r>
      <w:r>
        <w:t xml:space="preserve">(Maiorano et al., 2020)</w:t>
      </w:r>
      <w:r>
        <w:t xml:space="preserve">; subsampled to mammal species checklist from the UK Mammal Society - this is because some of the links in the european metaweb are</w:t>
      </w:r>
      <w:r>
        <w:t xml:space="preserve"> </w:t>
      </w:r>
      <w:r>
        <w:t xml:space="preserve">‘forbidden’</w:t>
      </w:r>
      <w:r>
        <w:t xml:space="preserve"> </w:t>
      </w:r>
      <w:r>
        <w:t xml:space="preserve">due to co-occurrence limitations but could be feasible if species are treated as co-occurring. So this would have inflated the number of perceived forbidden links in the ATN. For Canada it is less of a problem since it is not constrained by co-occurrence.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Canada:</w:t>
      </w:r>
      <w:r>
        <w:t xml:space="preserve"> </w:t>
      </w:r>
      <w:r>
        <w:t xml:space="preserve">probabilistic metaweb from</w:t>
      </w:r>
      <w:r>
        <w:t xml:space="preserve"> </w:t>
      </w:r>
      <w:r>
        <w:t xml:space="preserve">Strydom et al. (2022)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Body sizes:</w:t>
      </w:r>
      <w:r>
        <w:t xml:space="preserve"> </w:t>
      </w:r>
      <w:r>
        <w:t xml:space="preserve">mammalian body-mass estimates from PanTHERIA</w:t>
      </w:r>
      <w:r>
        <w:t xml:space="preserve"> </w:t>
      </w:r>
      <w:r>
        <w:t xml:space="preserve">(Jones et al., 2009)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Briefly describe species matching, taxonomic harmonisation and missing-data handling.</w:t>
      </w:r>
    </w:p>
    <w:bookmarkEnd w:id="9"/>
    <w:bookmarkStart w:id="10" w:name="atn-models-and-forbidden-interactions"/>
    <w:p>
      <w:pPr>
        <w:pStyle w:val="Heading2"/>
      </w:pPr>
      <w:r>
        <w:t xml:space="preserve">ATN models and forbidden interactions</w:t>
      </w:r>
    </w:p>
    <w:p>
      <w:pPr>
        <w:pStyle w:val="Compact"/>
        <w:numPr>
          <w:ilvl w:val="0"/>
          <w:numId w:val="1003"/>
        </w:numPr>
      </w:pPr>
      <w:r>
        <w:t xml:space="preserve">Generate probabilistic and binary ATN networks using body size, varying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γ</m:t>
        </m:r>
        <m:r>
          <m:rPr>
            <m:sty m:val="p"/>
          </m:rPr>
          <m:t>)</m:t>
        </m:r>
      </m:oMath>
      <w:r>
        <w:t xml:space="preserve"> </w:t>
      </w:r>
      <w:r>
        <w:t xml:space="preserve">and, for binary networks, the interaction threshold.</w:t>
      </w:r>
    </w:p>
    <w:p>
      <w:pPr>
        <w:pStyle w:val="Compact"/>
        <w:numPr>
          <w:ilvl w:val="0"/>
          <w:numId w:val="1003"/>
        </w:numPr>
      </w:pPr>
      <w:r>
        <w:t xml:space="preserve">For probabilistic metawebs, account for uncertainty by sampling interactions.</w:t>
      </w:r>
    </w:p>
    <w:p>
      <w:pPr>
        <w:pStyle w:val="Compact"/>
        <w:numPr>
          <w:ilvl w:val="0"/>
          <w:numId w:val="1003"/>
        </w:numPr>
      </w:pPr>
      <w:r>
        <w:t xml:space="preserve">Define forbidden interactions as ATN links absent from the corresponding metaweb.</w:t>
      </w:r>
    </w:p>
    <w:p>
      <w:pPr>
        <w:pStyle w:val="Compact"/>
        <w:numPr>
          <w:ilvl w:val="0"/>
          <w:numId w:val="1003"/>
        </w:numPr>
      </w:pPr>
      <w:r>
        <w:t xml:space="preserve">Quantify the percentage of ATN links that are forbidden across parameter combinations and simulation replicates.</w:t>
      </w:r>
    </w:p>
    <w:bookmarkEnd w:id="10"/>
    <w:bookmarkStart w:id="11" w:name="network-structure-comparison"/>
    <w:p>
      <w:pPr>
        <w:pStyle w:val="Heading2"/>
      </w:pPr>
      <w:r>
        <w:t xml:space="preserve">Network structure comparison</w:t>
      </w:r>
    </w:p>
    <w:p>
      <w:pPr>
        <w:pStyle w:val="Compact"/>
        <w:numPr>
          <w:ilvl w:val="0"/>
          <w:numId w:val="1004"/>
        </w:numPr>
      </w:pPr>
      <w:r>
        <w:t xml:space="preserve">Compare a small set of structural metrics between ATN networks and metawebs (e.g. connectance, degree distributions and nestedness, where appropriate).</w:t>
      </w:r>
    </w:p>
    <w:p>
      <w:pPr>
        <w:pStyle w:val="Compact"/>
        <w:numPr>
          <w:ilvl w:val="0"/>
          <w:numId w:val="1004"/>
        </w:numPr>
      </w:pPr>
      <w:r>
        <w:t xml:space="preserve">Assess whether similar structural properties can coexist with poor recovery of specific species-level interactions.</w:t>
      </w:r>
    </w:p>
    <w:bookmarkEnd w:id="11"/>
    <w:bookmarkStart w:id="12" w:name="X03370fe7280d43308b0b595678d8caa84709f40"/>
    <w:p>
      <w:pPr>
        <w:pStyle w:val="Heading2"/>
      </w:pPr>
      <w:r>
        <w:t xml:space="preserve">Body-size models predict many forbidden interactions</w:t>
      </w:r>
    </w:p>
    <w:p>
      <w:pPr>
        <w:pStyle w:val="Compact"/>
        <w:numPr>
          <w:ilvl w:val="0"/>
          <w:numId w:val="1005"/>
        </w:numPr>
      </w:pPr>
      <w:r>
        <w:t xml:space="preserve">Report the percentage of predicted ATN links absent from the metaweb.</w:t>
      </w:r>
    </w:p>
    <w:p>
      <w:pPr>
        <w:pStyle w:val="Compact"/>
        <w:numPr>
          <w:ilvl w:val="0"/>
          <w:numId w:val="1005"/>
        </w:numPr>
      </w:pPr>
      <w:r>
        <w:t xml:space="preserve">Show sensitivity 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γ</m:t>
        </m:r>
        <m:r>
          <m:rPr>
            <m:sty m:val="p"/>
          </m:rPr>
          <m:t>)</m:t>
        </m:r>
      </m:oMath>
      <w:r>
        <w:t xml:space="preserve">, and the binary interaction threshold.</w:t>
      </w:r>
    </w:p>
    <w:p>
      <w:pPr>
        <w:pStyle w:val="Compact"/>
        <w:numPr>
          <w:ilvl w:val="0"/>
          <w:numId w:val="1005"/>
        </w:numPr>
      </w:pPr>
      <w:r>
        <w:t xml:space="preserve">Compare results between Great Britain and Canada.</w:t>
      </w:r>
    </w:p>
    <w:bookmarkEnd w:id="12"/>
    <w:bookmarkStart w:id="13" w:name="X212518d28578fc598a3b2bba8b1463094ff8d69"/>
    <w:p>
      <w:pPr>
        <w:pStyle w:val="Heading2"/>
      </w:pPr>
      <w:r>
        <w:t xml:space="preserve">Similar structure does not imply correct interactions</w:t>
      </w:r>
    </w:p>
    <w:p>
      <w:pPr>
        <w:pStyle w:val="Compact"/>
        <w:numPr>
          <w:ilvl w:val="0"/>
          <w:numId w:val="1006"/>
        </w:numPr>
      </w:pPr>
      <w:r>
        <w:t xml:space="preserve">Compare structural metrics between ATN networks and metawebs.</w:t>
      </w:r>
    </w:p>
    <w:p>
      <w:pPr>
        <w:pStyle w:val="Compact"/>
        <w:numPr>
          <w:ilvl w:val="0"/>
          <w:numId w:val="1006"/>
        </w:numPr>
      </w:pPr>
      <w:r>
        <w:t xml:space="preserve">Highlight any cases where structural similarity coexists with low pairwise interaction agreement.</w:t>
      </w:r>
    </w:p>
    <w:bookmarkEnd w:id="13"/>
    <w:bookmarkStart w:id="14" w:name="discussion"/>
    <w:p>
      <w:pPr>
        <w:pStyle w:val="Heading1"/>
      </w:pPr>
      <w:r>
        <w:t xml:space="preserve">Discussion</w:t>
      </w:r>
    </w:p>
    <w:p>
      <w:pPr>
        <w:pStyle w:val="Compact"/>
        <w:numPr>
          <w:ilvl w:val="0"/>
          <w:numId w:val="1007"/>
        </w:numPr>
      </w:pPr>
      <w:r>
        <w:t xml:space="preserve">Body-size-based ATN models can predict interactions that are unsupported by the reference metawebs.</w:t>
      </w:r>
    </w:p>
    <w:p>
      <w:pPr>
        <w:pStyle w:val="Compact"/>
        <w:numPr>
          <w:ilvl w:val="0"/>
          <w:numId w:val="1007"/>
        </w:numPr>
      </w:pPr>
      <w:r>
        <w:t xml:space="preserve">Structural similarity, if observed, does not necessarily imply recovery of the correct species-level links.</w:t>
      </w:r>
    </w:p>
    <w:p>
      <w:pPr>
        <w:pStyle w:val="Compact"/>
        <w:numPr>
          <w:ilvl w:val="0"/>
          <w:numId w:val="1007"/>
        </w:numPr>
      </w:pPr>
      <w:r>
        <w:t xml:space="preserve">Discuss the limitations of body size as a sole predictor and the potential importance of additional traits and ecological constraints.</w:t>
      </w:r>
    </w:p>
    <w:p>
      <w:pPr>
        <w:pStyle w:val="Compact"/>
        <w:numPr>
          <w:ilvl w:val="0"/>
          <w:numId w:val="1007"/>
        </w:numPr>
      </w:pPr>
      <w:r>
        <w:t xml:space="preserve">Note that metaweb absence is not definitive proof that an interaction is biologically impossible; results measure disagreement with the reference interaction data.</w:t>
      </w:r>
    </w:p>
    <w:bookmarkEnd w:id="14"/>
    <w:bookmarkStart w:id="15" w:name="data-and-code-availability"/>
    <w:p>
      <w:pPr>
        <w:pStyle w:val="Heading1"/>
      </w:pPr>
      <w:r>
        <w:t xml:space="preserve">Data and code availability</w:t>
      </w:r>
    </w:p>
    <w:p>
      <w:pPr>
        <w:pStyle w:val="Compact"/>
        <w:numPr>
          <w:ilvl w:val="0"/>
          <w:numId w:val="1008"/>
        </w:numPr>
      </w:pPr>
      <w:r>
        <w:t xml:space="preserve">Provide data sources, analysis code and processed outputs.</w:t>
      </w:r>
    </w:p>
    <w:bookmarkEnd w:id="15"/>
    <w:bookmarkStart w:id="25" w:name="references"/>
    <w:p>
      <w:pPr>
        <w:pStyle w:val="Heading1"/>
      </w:pPr>
      <w:r>
        <w:t xml:space="preserve">References</w:t>
      </w:r>
    </w:p>
    <w:bookmarkStart w:id="24" w:name="refs"/>
    <w:bookmarkStart w:id="17" w:name="ref-broseConsumerResourceBodySize2006"/>
    <w:p>
      <w:pPr>
        <w:pStyle w:val="Bibliography"/>
      </w:pPr>
      <w:r>
        <w:t xml:space="preserve">Brose, U., Jonsson, T., Berlow, E. L., Warren, P., Banasek-Richter, C., Bersier, L.-F., Blanchard, J. L., Brey, T., Carpenter, S. R., Blandenier, M.-F. C., Cushing, L., Dawah, H. A., Dell, T., Edwards, F., Harper-Smith, S., Jacob, U., Ledger, M. E., Martinez, N. D., Memmott, J., … Cohen, J. E. (2006). Consumer–</w:t>
      </w:r>
      <w:r>
        <w:t xml:space="preserve">Resource Body-Size Relationships</w:t>
      </w:r>
      <w:r>
        <w:t xml:space="preserve"> </w:t>
      </w:r>
      <w:r>
        <w:t xml:space="preserve">in</w:t>
      </w:r>
      <w:r>
        <w:t xml:space="preserve"> </w:t>
      </w:r>
      <w:r>
        <w:t xml:space="preserve">Natural Food Webs</w:t>
      </w:r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,</w:t>
      </w:r>
      <w:r>
        <w:t xml:space="preserve"> </w:t>
      </w:r>
      <w:r>
        <w:rPr>
          <w:i/>
          <w:iCs/>
        </w:rPr>
        <w:t xml:space="preserve">87</w:t>
      </w:r>
      <w:r>
        <w:t xml:space="preserve">(10), 2411–2417.</w:t>
      </w:r>
      <w:r>
        <w:t xml:space="preserve"> </w:t>
      </w:r>
      <w:hyperlink r:id="rId16">
        <w:r>
          <w:rPr>
            <w:rStyle w:val="Hyperlink"/>
          </w:rPr>
          <w:t xml:space="preserve">https://doi.org/10.1890/0012-9658(2006)87[2411:CBRINF]2.0.CO;2</w:t>
        </w:r>
      </w:hyperlink>
    </w:p>
    <w:bookmarkEnd w:id="17"/>
    <w:bookmarkStart w:id="19" w:name="X86d653ee97d7a95323716d8e0c0300171c8d8cb"/>
    <w:p>
      <w:pPr>
        <w:pStyle w:val="Bibliography"/>
      </w:pPr>
      <w:r>
        <w:t xml:space="preserve">Jones, K. E., Bielby, J., Cardillo, M., Fritz, S. A., O’Dell, J., Orme, C. D. L., Safi, K., Sechrest, W., Boakes, E. H., Carbone, C., Connolly, C., Cutts, M. J., Foster, J. K., Grenyer, R., Habib, M., Plaster, C. A., Price, S. A., Rigby, E. A., Rist, J., … Purvis, A. (2009).</w:t>
      </w:r>
      <w:r>
        <w:t xml:space="preserve"> </w:t>
      </w:r>
      <w:r>
        <w:t xml:space="preserve">PanTHERIA</w:t>
      </w:r>
      <w:r>
        <w:t xml:space="preserve">: A species‐level database of life history, ecology, and geography of extant and recently extinct mammals:</w:t>
      </w:r>
      <w:r>
        <w:t xml:space="preserve"> </w:t>
      </w:r>
      <w:r>
        <w:t xml:space="preserve">Ecological Archives E090</w:t>
      </w:r>
      <w:r>
        <w:t xml:space="preserve">‐184.</w:t>
      </w:r>
      <w:r>
        <w:t xml:space="preserve"> </w:t>
      </w:r>
      <w:r>
        <w:rPr>
          <w:i/>
          <w:iCs/>
        </w:rPr>
        <w:t xml:space="preserve">Ecology</w:t>
      </w:r>
      <w:r>
        <w:t xml:space="preserve">,</w:t>
      </w:r>
      <w:r>
        <w:t xml:space="preserve"> </w:t>
      </w:r>
      <w:r>
        <w:rPr>
          <w:i/>
          <w:iCs/>
        </w:rPr>
        <w:t xml:space="preserve">90</w:t>
      </w:r>
      <w:r>
        <w:t xml:space="preserve">(9), 2648–2648.</w:t>
      </w:r>
      <w:r>
        <w:t xml:space="preserve"> </w:t>
      </w:r>
      <w:hyperlink r:id="rId18">
        <w:r>
          <w:rPr>
            <w:rStyle w:val="Hyperlink"/>
          </w:rPr>
          <w:t xml:space="preserve">https://doi.org/10.1890/08-1494.1</w:t>
        </w:r>
      </w:hyperlink>
    </w:p>
    <w:bookmarkEnd w:id="19"/>
    <w:bookmarkStart w:id="21" w:name="ref-maioranoTETRAEU10Specieslevel2020a"/>
    <w:p>
      <w:pPr>
        <w:pStyle w:val="Bibliography"/>
      </w:pPr>
      <w:r>
        <w:t xml:space="preserve">Maiorano, L., Montemaggiori, A., Ficetola, G. F., O’Connor, L., &amp; Thuiller, W. (2020).</w:t>
      </w:r>
      <w:r>
        <w:t xml:space="preserve"> </w:t>
      </w:r>
      <w:r>
        <w:t xml:space="preserve">TETRA</w:t>
      </w:r>
      <w:r>
        <w:t xml:space="preserve">‐</w:t>
      </w:r>
      <w:r>
        <w:t xml:space="preserve">EU</w:t>
      </w:r>
      <w:r>
        <w:t xml:space="preserve"> </w:t>
      </w:r>
      <w:r>
        <w:t xml:space="preserve">1.0:</w:t>
      </w:r>
      <w:r>
        <w:t xml:space="preserve"> </w:t>
      </w:r>
      <w:r>
        <w:t xml:space="preserve">A</w:t>
      </w:r>
      <w:r>
        <w:t xml:space="preserve"> </w:t>
      </w:r>
      <w:r>
        <w:t xml:space="preserve">species‐level trophic metaweb of</w:t>
      </w:r>
      <w:r>
        <w:t xml:space="preserve"> </w:t>
      </w:r>
      <w:r>
        <w:t xml:space="preserve">European</w:t>
      </w:r>
      <w:r>
        <w:t xml:space="preserve"> </w:t>
      </w:r>
      <w:r>
        <w:t xml:space="preserve">tetrapods.</w:t>
      </w:r>
      <w:r>
        <w:t xml:space="preserve"> </w:t>
      </w:r>
      <w:r>
        <w:rPr>
          <w:i/>
          <w:iCs/>
        </w:rPr>
        <w:t xml:space="preserve">Global Ecology and Biogeography</w:t>
      </w:r>
      <w:r>
        <w:t xml:space="preserve">,</w:t>
      </w:r>
      <w:r>
        <w:t xml:space="preserve"> </w:t>
      </w:r>
      <w:r>
        <w:rPr>
          <w:i/>
          <w:iCs/>
        </w:rPr>
        <w:t xml:space="preserve">29</w:t>
      </w:r>
      <w:r>
        <w:t xml:space="preserve">(9), 1452–1457.</w:t>
      </w:r>
      <w:r>
        <w:t xml:space="preserve"> </w:t>
      </w:r>
      <w:hyperlink r:id="rId20">
        <w:r>
          <w:rPr>
            <w:rStyle w:val="Hyperlink"/>
          </w:rPr>
          <w:t xml:space="preserve">https://doi.org/10.1111/geb.13138</w:t>
        </w:r>
      </w:hyperlink>
    </w:p>
    <w:bookmarkEnd w:id="21"/>
    <w:bookmarkStart w:id="23" w:name="ref-strydomFoodWebReconstruction2022"/>
    <w:p>
      <w:pPr>
        <w:pStyle w:val="Bibliography"/>
      </w:pPr>
      <w:r>
        <w:t xml:space="preserve">Strydom, T., Bouskila, S., Banville, F., Barros, C., Caron, D., Farrell, M. J., Fortin, M.-J., Hemming, V., Mercier, B., Pollock, L. J., Runghen, R., Dalla Riva, G. V., &amp; Poisot, T. (2022). Food web reconstruction through phylogenetic transfer of low-rank network representation.</w:t>
      </w:r>
      <w:r>
        <w:t xml:space="preserve"> </w:t>
      </w:r>
      <w:r>
        <w:rPr>
          <w:i/>
          <w:iCs/>
        </w:rPr>
        <w:t xml:space="preserve">Methods in Ecology and Evolution</w:t>
      </w:r>
      <w:r>
        <w:t xml:space="preserve">,</w:t>
      </w:r>
      <w:r>
        <w:t xml:space="preserve"> </w:t>
      </w:r>
      <w:r>
        <w:rPr>
          <w:i/>
          <w:iCs/>
        </w:rPr>
        <w:t xml:space="preserve">13</w:t>
      </w:r>
      <w:r>
        <w:t xml:space="preserve">(12).</w:t>
      </w:r>
      <w:r>
        <w:t xml:space="preserve"> </w:t>
      </w:r>
      <w:hyperlink r:id="rId22">
        <w:r>
          <w:rPr>
            <w:rStyle w:val="Hyperlink"/>
          </w:rPr>
          <w:t xml:space="preserve">https://doi.org/10.1111/2041-210X.13835</w:t>
        </w:r>
      </w:hyperlink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doi.org/10.1111/2041-210X.13835" TargetMode="External" /><Relationship Type="http://schemas.openxmlformats.org/officeDocument/2006/relationships/hyperlink" Id="rId20" Target="https://doi.org/10.1111/geb.13138" TargetMode="External" /><Relationship Type="http://schemas.openxmlformats.org/officeDocument/2006/relationships/hyperlink" Id="rId16" Target="https://doi.org/10.1890/0012-9658(2006)87[2411:CBRINF]2.0.CO;2" TargetMode="External" /><Relationship Type="http://schemas.openxmlformats.org/officeDocument/2006/relationships/hyperlink" Id="rId18" Target="https://doi.org/10.1890/08-1494.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doi.org/10.1111/2041-210X.13835" TargetMode="External" /><Relationship Type="http://schemas.openxmlformats.org/officeDocument/2006/relationships/hyperlink" Id="rId20" Target="https://doi.org/10.1111/geb.13138" TargetMode="External" /><Relationship Type="http://schemas.openxmlformats.org/officeDocument/2006/relationships/hyperlink" Id="rId16" Target="https://doi.org/10.1890/0012-9658(2006)87[2411:CBRINF]2.0.CO;2" TargetMode="External" /><Relationship Type="http://schemas.openxmlformats.org/officeDocument/2006/relationships/hyperlink" Id="rId18" Target="https://doi.org/10.1890/08-1494.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Fake tales of bodymass models</dc:title>
  <dc:creator/>
  <cp:keywords>food webs</cp:keywords>
  <dcterms:created xsi:type="dcterms:W3CDTF">2026-10-29T15:26:42Z</dcterms:created>
  <dcterms:modified xsi:type="dcterms:W3CDTF">2026-10-29T15:26:42Z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TODO.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lear-hidden-classes">
    <vt:lpwstr>none</vt:lpwstr>
  </property>
  <property fmtid="{D5CDD505-2E9C-101B-9397-08002B2CF9AE}" pid="10" name="csl">
    <vt:lpwstr>https://www.zotero.org/styles/methods-in-ecology-and-evolution</vt:lpwstr>
  </property>
  <property fmtid="{D5CDD505-2E9C-101B-9397-08002B2CF9AE}" pid="11" name="google-scholar">
    <vt:lpwstr>True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ghtbox">
    <vt:lpwstr>auto</vt:lpwstr>
  </property>
  <property fmtid="{D5CDD505-2E9C-101B-9397-08002B2CF9AE}" pid="17" name="manuscript">
    <vt:lpwstr/>
  </property>
  <property fmtid="{D5CDD505-2E9C-101B-9397-08002B2CF9AE}" pid="18" name="notebook-preview-options">
    <vt:lpwstr/>
  </property>
  <property fmtid="{D5CDD505-2E9C-101B-9397-08002B2CF9AE}" pid="19" name="quarto-internal">
    <vt:lpwstr/>
  </property>
  <property fmtid="{D5CDD505-2E9C-101B-9397-08002B2CF9AE}" pid="20" name="remove-hidden">
    <vt:lpwstr>all</vt:lpwstr>
  </property>
  <property fmtid="{D5CDD505-2E9C-101B-9397-08002B2CF9AE}" pid="21" name="template-partials">
    <vt:lpwstr/>
  </property>
  <property fmtid="{D5CDD505-2E9C-101B-9397-08002B2CF9AE}" pid="22" name="theme">
    <vt:lpwstr>cosmo</vt:lpwstr>
  </property>
  <property fmtid="{D5CDD505-2E9C-101B-9397-08002B2CF9AE}" pid="23" name="title-block-style">
    <vt:lpwstr>manuscript</vt:lpwstr>
  </property>
  <property fmtid="{D5CDD505-2E9C-101B-9397-08002B2CF9AE}" pid="24" name="toc-title">
    <vt:lpwstr>Table of contents</vt:lpwstr>
  </property>
  <property fmtid="{D5CDD505-2E9C-101B-9397-08002B2CF9AE}" pid="25" name="unroll-markdown-cells">
    <vt:lpwstr>True</vt:lpwstr>
  </property>
</Properties>
</file>