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5.png" ContentType="image/png"/>
  <Override PartName="/word/media/rId40.png" ContentType="image/png"/>
  <Override PartName="/word/media/rId36.png" ContentType="image/png"/>
  <Override PartName="/word/media/rId28.png" ContentType="image/png"/>
  <Override PartName="/word/media/rId69.png" ContentType="image/png"/>
  <Override PartName="/word/media/rId57.png" ContentType="image/png"/>
  <Override PartName="/word/media/rId50.png" ContentType="image/png"/>
  <Override PartName="/word/media/rId61.png" ContentType="image/png"/>
  <Override PartName="/word/media/rId6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Stability Debate</w:t>
      </w:r>
    </w:p>
    <w:p>
      <w:pPr>
        <w:pStyle w:val="Author"/>
      </w:pPr>
      <w:r>
        <w:t xml:space="preserve">Tanya Strydom</w:t>
      </w:r>
    </w:p>
    <w:p>
      <w:pPr>
        <w:pStyle w:val="Author"/>
      </w:pPr>
      <w:r>
        <w:t xml:space="preserve">Andrew P. Beckerman</w:t>
      </w:r>
    </w:p>
    <w:p>
      <w:pPr>
        <w:pStyle w:val="Date"/>
      </w:pPr>
      <w:r>
        <w:t xml:space="preserve">2026-03-10</w:t>
      </w:r>
    </w:p>
    <w:p>
      <w:pPr>
        <w:pStyle w:val="AbstractTitle"/>
      </w:pPr>
      <w:r>
        <w:t xml:space="preserve">Abstract</w:t>
      </w:r>
    </w:p>
    <w:p>
      <w:pPr>
        <w:pStyle w:val="Abstract"/>
      </w:pPr>
      <w:r>
        <w:t xml:space="preserve">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w:t>
      </w:r>
    </w:p>
    <w:bookmarkStart w:id="9"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w:t>
      </w:r>
      <w:r>
        <w:t xml:space="preserve"> </w:t>
      </w:r>
      <w:r>
        <w:t xml:space="preserve">[1,2]</w:t>
      </w:r>
      <w:r>
        <w:t xml:space="preserve">. Measures of connectance, trophic level, modularity, omnivory, motif structure, and many others are routinely invoked as indicators of ecosystem organisation or stability. However, these descriptors often covary strongly, capture overlapping information, or reflect different scales of network organisation. As a result, studies using different subsets of metrics frequently arrive at conflicting conclusions about the relationship between network structure and ecological stability.</w:t>
      </w:r>
    </w:p>
    <w:p>
      <w:pPr>
        <w:pStyle w:val="BodyText"/>
      </w:pPr>
      <w:r>
        <w:t xml:space="preserve">One explanation for this inconsistency is that network structure is fundamentally multidimensional. Rather than representing a single property of ecosystems, structural metrics may capture different aspects of how interactions are organised and how energy moves through ecological systems. If this is the case, then individual metrics should not be expected to provide a universal predictor of stability. Instead, they may represent distinct dimensions of structural organisation that relate to different ecological mechanisms. Despite this possibility, most studies treat structural descriptors independently or select a small subset based on convention or data availability. Relatively few attempts have been made to examine whether commonly used network metrics organise into a smaller set of coherent structural dimensions that define the underlying space of ecological network architecture.</w:t>
      </w:r>
    </w:p>
    <w:p>
      <w:pPr>
        <w:pStyle w:val="BodyText"/>
      </w:pPr>
      <w:r>
        <w:t xml:space="preserve">Ecological stability is likewise not a single property but a collection of related dynamical behaviours [Pimm 1984;</w:t>
      </w:r>
      <w:r>
        <w:t xml:space="preserve"> </w:t>
      </w:r>
      <w:r>
        <w:t xml:space="preserve">[3]</w:t>
      </w:r>
      <w:r>
        <w:t xml:space="preserve">]. Different studies have emphasised different stability components, including the persistence of species [REF], the resistance of communities to disturbance [REF], and the speed with which systems recover following perturbation [REF]. These processes reflect distinct aspects of ecosystem dynamics and may depend on different features of network structure. From an energy-flow perspective, three stability mechanisms are particularly relevant: persistence, resistance, and return. Persistence refers to the continued maintenance of energy flow and species presence following species loss or environmental change. Resistance describes the degree to which disturbances propagate through ecological interactions, potentially amplifying or dampening perturbations. Return captures the capacity of a system to reorganise and re-establish stable interaction patterns following disturbance. Because these mechanisms operate through different ecological processes, they may be expected to depend on different aspects of network architecture. Structural features related to species roles and redundancy may influence persistence, whereas properties governing interaction pathways and network organisation may affect disturbance propagation or recovery dynamics.</w:t>
      </w:r>
    </w:p>
    <w:p>
      <w:pPr>
        <w:pStyle w:val="BodyText"/>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[4]</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w:t>
      </w:r>
      <w:r>
        <w:t xml:space="preserve"> </w:t>
      </w:r>
      <w:r>
        <w:t xml:space="preserve">[5]</w:t>
      </w:r>
      <w:r>
        <w:t xml:space="preserve">. 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[2]</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BodyText"/>
      </w:pPr>
      <w:r>
        <w:t xml:space="preserve">Here we investigate whether the large number of structural metrics used to characterise food webs can be reduced to a smaller set of coherent structural dimensions, and whether these dimensions relate to different components of ecological stability. Using a compilation of empirical food webs, we quantified a broad suite of commonly used network descriptors spanning species roles, interaction pathways, and global network organisation. We first examined whether these metrics self-organise into statistically robust modules based on their covariation across ecosystems. We then evaluated how these modules align with dominant multivariate axes of structural variation. Finally, we compared alternative representations of network structure to assess how different structural dimensions relate to three stability properties: robustness to species loss, spectral radius, and structural complexity. By explicitly mapping the multivariate structure of network architecture to stability outcomes, this analysis provides a principled framework for interpreting network metrics and for selecting structural descriptors that match specific ecological questions.</w:t>
      </w:r>
    </w:p>
    <w:bookmarkEnd w:id="9"/>
    <w:bookmarkStart w:id="20" w:name="materials-methods"/>
    <w:p>
      <w:pPr>
        <w:pStyle w:val="Heading1"/>
      </w:pPr>
      <w:r>
        <w:t xml:space="preserve">2. Materials &amp; Methods</w:t>
      </w:r>
    </w:p>
    <w:bookmarkStart w:id="11"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0"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[1]</w:t>
            </w:r>
            <w:r>
              <w:t xml:space="preserve"> </w:t>
            </w:r>
            <w:r>
              <w:t xml:space="preserve">paper as well as including those that have been identified by</w:t>
            </w:r>
            <w:r>
              <w:t xml:space="preserve"> </w:t>
            </w:r>
            <w:r>
              <w:t xml:space="preserve">[4]</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[6]</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[7]</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[8]</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[9]</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[10]</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[6]</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[6]</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[11]</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[12]</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[13]</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[14]</w:t>
                  </w:r>
                  <w:r>
                    <w:t xml:space="preserve"> </w:t>
                  </w:r>
                  <w:r>
                    <w:t xml:space="preserve">[15]</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[14]</w:t>
                  </w:r>
                  <w:r>
                    <w:t xml:space="preserve"> </w:t>
                  </w:r>
                  <w:r>
                    <w:t xml:space="preserve">[15]</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[14]</w:t>
                  </w:r>
                  <w:r>
                    <w:t xml:space="preserve"> </w:t>
                  </w:r>
                  <w:r>
                    <w:t xml:space="preserve">[15]</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[14]</w:t>
                  </w:r>
                  <w:r>
                    <w:t xml:space="preserve"> </w:t>
                  </w:r>
                  <w:r>
                    <w:t xml:space="preserve">[15]</w:t>
                  </w:r>
                </w:p>
              </w:tc>
            </w:tr>
          </w:tbl>
          <w:bookmarkEnd w:id="10"/>
          <w:p/>
        </w:tc>
      </w:tr>
    </w:tbl>
    <w:bookmarkEnd w:id="11"/>
    <w:bookmarkStart w:id="12"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2"/>
    <w:bookmarkStart w:id="13"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3"/>
    <w:bookmarkStart w:id="19"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4"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centralization,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 1−∣r∣.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4"/>
    <w:bookmarkStart w:id="15"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 and was treated as exploratory rather than primary.</w:t>
      </w:r>
    </w:p>
    <w:bookmarkEnd w:id="15"/>
    <w:bookmarkStart w:id="16"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organization.</w:t>
      </w:r>
    </w:p>
    <w:bookmarkEnd w:id="16"/>
    <w:bookmarkStart w:id="18"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regularized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17" w:name="model-evaluation"/>
    <w:p>
      <w:pPr>
        <w:pStyle w:val="Heading4"/>
      </w:pPr>
      <w:r>
        <w:t xml:space="preserve">2.4.4.1 Model Evaluation</w:t>
      </w:r>
    </w:p>
    <w:p>
      <w:pPr>
        <w:pStyle w:val="FirstParagraph"/>
      </w:pPr>
      <w:r>
        <w:t xml:space="preserve">Predictive performance was assessed using repeated v-fold cross-validation (5 folds × 20 repeats). Within each training partition, models were fit across a grid of α values (0–1 in increments of 0.25), and the optimal penalty strength (λ) was selected via internal cross-validation. Performance was quantified as cross-validated R^2 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17"/>
    <w:bookmarkEnd w:id="18"/>
    <w:bookmarkEnd w:id="19"/>
    <w:bookmarkEnd w:id="20"/>
    <w:bookmarkStart w:id="75" w:name="results"/>
    <w:p>
      <w:pPr>
        <w:pStyle w:val="Heading1"/>
      </w:pPr>
      <w:r>
        <w:t xml:space="preserve">3. Results</w:t>
      </w:r>
    </w:p>
    <w:bookmarkStart w:id="25"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4" w:name="fig-cluster"/>
          <w:p>
            <w:pPr>
              <w:pStyle w:val="Compact"/>
              <w:jc w:val="center"/>
            </w:pPr>
            <w:r>
              <w:drawing>
                <wp:inline>
                  <wp:extent cx="5334000" cy="2720340"/>
                  <wp:effectExtent b="0" l="0" r="0" t="0"/>
                  <wp:docPr descr="" title="" id="22" name="Picture"/>
                  <a:graphic>
                    <a:graphicData uri="http://schemas.openxmlformats.org/drawingml/2006/picture">
                      <pic:pic>
                        <pic:nvPicPr>
                          <pic:cNvPr descr="figures/cluster_dendrogram.png" id="23" name="Picture"/>
                          <pic:cNvPicPr>
                            <a:picLocks noChangeArrowheads="1" noChangeAspect="1"/>
                          </pic:cNvPicPr>
                        </pic:nvPicPr>
                        <pic:blipFill>
                          <a:blip r:embed="rId21"/>
                          <a:stretch>
                            <a:fillRect/>
                          </a:stretch>
                        </pic:blipFill>
                        <pic:spPr bwMode="auto">
                          <a:xfrm>
                            <a:off x="0" y="0"/>
                            <a:ext cx="5334000" cy="2720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Hierarchical clustering of food-web structural descriptors. Dendrogram illustrating the modular organization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4"/>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5"/>
    <w:bookmarkStart w:id="27"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6"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30"/>
              <w:gridCol w:w="2530"/>
              <w:gridCol w:w="286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 Complexity</w:t>
                  </w:r>
                </w:p>
              </w:tc>
              <w:tc>
                <w:tcPr/>
                <w:p>
                  <w:pPr>
                    <w:pStyle w:val="Compact"/>
                    <w:jc w:val="center"/>
                  </w:pPr>
                  <w:r>
                    <w:t xml:space="preserve">richness, links, diameter, motif frequencies (all), intervality, path-related metrics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r>
            <w:tr>
              <w:tc>
                <w:tcPr/>
                <w:p>
                  <w:pPr>
                    <w:pStyle w:val="Compact"/>
                    <w:jc w:val="center"/>
                  </w:pPr>
                  <w:r>
                    <w:t xml:space="preserve">Energy Transport</w:t>
                  </w:r>
                </w:p>
              </w:tc>
              <w:tc>
                <w:tcPr/>
                <w:p>
                  <w:pPr>
                    <w:pStyle w:val="Compact"/>
                    <w:jc w:val="center"/>
                  </w:pPr>
                  <w:r>
                    <w:t xml:space="preserve">mean distance, path number, chain-length</w:t>
                  </w:r>
                </w:p>
              </w:tc>
              <w:tc>
                <w:tcPr/>
                <w:p>
                  <w:pPr>
                    <w:pStyle w:val="Compact"/>
                    <w:jc w:val="center"/>
                  </w:pPr>
                  <w:r>
                    <w:t xml:space="preserve">Quantifies geometric structure of energy routing independent of size scaling</w:t>
                  </w: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r>
            <w:tr>
              <w:tc>
                <w:tcPr/>
                <w:p>
                  <w:pPr>
                    <w:pStyle w:val="Compact"/>
                    <w:jc w:val="center"/>
                  </w:pPr>
                  <w:r>
                    <w:t xml:space="preserve">Control Heterogeneity</w:t>
                  </w:r>
                </w:p>
              </w:tc>
              <w:tc>
                <w:tcPr/>
                <w:p>
                  <w:pPr>
                    <w:pStyle w:val="Compact"/>
                    <w:jc w:val="center"/>
                  </w:pPr>
                  <w:r>
                    <w:t xml:space="preserve">apex proportion, herbivory, vulnerability</w:t>
                  </w:r>
                </w:p>
              </w:tc>
              <w:tc>
                <w:tcPr/>
                <w:p>
                  <w:pPr>
                    <w:pStyle w:val="Compact"/>
                    <w:jc w:val="center"/>
                  </w:pPr>
                  <w:r>
                    <w:t xml:space="preserve">Captures heterogeneity in top-down control and uneven distribution of interaction pressure</w:t>
                  </w: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r>
          </w:tbl>
          <w:bookmarkEnd w:id="26"/>
          <w:p/>
        </w:tc>
      </w:tr>
    </w:tbl>
    <w:bookmarkEnd w:id="27"/>
    <w:bookmarkStart w:id="44"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1" w:name="fig-pca"/>
          <w:p>
            <w:pPr>
              <w:pStyle w:val="Compact"/>
              <w:jc w:val="center"/>
            </w:pPr>
            <w:r>
              <w:drawing>
                <wp:inline>
                  <wp:extent cx="5334000" cy="3413760"/>
                  <wp:effectExtent b="0" l="0" r="0" t="0"/>
                  <wp:docPr descr="" title="" id="29" name="Picture"/>
                  <a:graphic>
                    <a:graphicData uri="http://schemas.openxmlformats.org/drawingml/2006/picture">
                      <pic:pic>
                        <pic:nvPicPr>
                          <pic:cNvPr descr="figures/pca_loadings.png" id="30" name="Picture"/>
                          <pic:cNvPicPr>
                            <a:picLocks noChangeArrowheads="1" noChangeAspect="1"/>
                          </pic:cNvPicPr>
                        </pic:nvPicPr>
                        <pic:blipFill>
                          <a:blip r:embed="rId28"/>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 w:name="fig-variance"/>
          <w:p>
            <w:pPr>
              <w:pStyle w:val="Compact"/>
              <w:jc w:val="center"/>
            </w:pPr>
            <w:r>
              <w:drawing>
                <wp:inline>
                  <wp:extent cx="5334000" cy="2133600"/>
                  <wp:effectExtent b="0" l="0" r="0" t="0"/>
                  <wp:docPr descr="" title="" id="33" name="Picture"/>
                  <a:graphic>
                    <a:graphicData uri="http://schemas.openxmlformats.org/drawingml/2006/picture">
                      <pic:pic>
                        <pic:nvPicPr>
                          <pic:cNvPr descr="figures/variance_explained.png" id="34" name="Picture"/>
                          <pic:cNvPicPr>
                            <a:picLocks noChangeArrowheads="1" noChangeAspect="1"/>
                          </pic:cNvPicPr>
                        </pic:nvPicPr>
                        <pic:blipFill>
                          <a:blip r:embed="rId32"/>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This figure quantifies the relative contribution of each structural module to the variance captured by individual Principal Components (PCs). Calculation: For each PC, the total variance (eigenvalue) is partitioned among the k=7 modules identified in the hierarchical clustering. The contribution of a module to a specific PC is calculated as the sum of the squared loadings of all metrics belonging to that module, normalized by the total variance explained by that PC. Visual Interpretation: The alluvial plot illustrates how the ecological weight shifts across different structural dimensions. For example, while PC1 may be dominated by a single module, subsequent PCs often represent a more diverse blend of modular contributions, reflecting the multifaceted nature of topological complexity and trophic organization. Significance: This visualisation confirms that the PC axes are not merely statistical artifacts but are grounded in the specific groups of correlated metrics defined in the main text. The stability of the flow across the first several components demonstrates that the modular organisation of food web architecture is consistently represented across the primary gradients of structural variation.</w:t>
            </w:r>
          </w:p>
          <w:bookmarkEnd w:id="35"/>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9" w:name="fig-alignment_heatmap"/>
          <w:p>
            <w:pPr>
              <w:pStyle w:val="Compact"/>
              <w:jc w:val="center"/>
            </w:pPr>
            <w:r>
              <w:drawing>
                <wp:inline>
                  <wp:extent cx="5334000" cy="2667000"/>
                  <wp:effectExtent b="0" l="0" r="0" t="0"/>
                  <wp:docPr descr="" title="" id="37" name="Picture"/>
                  <a:graphic>
                    <a:graphicData uri="http://schemas.openxmlformats.org/drawingml/2006/picture">
                      <pic:pic>
                        <pic:nvPicPr>
                          <pic:cNvPr descr="figures/module_alignment_heatmap.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the correspondence between the seven identified food-web modules (rows) and the principal components (columns) capturing 80% of cumulative variance. High values (darker shading) indicate strong alignment, where a specific module’s internal structure drives the variation captured by that PC. Both rows and columns are hierarchically clustered to highlight similarities in how different structural dimensions contribute to the overall food-web architecture.</w:t>
            </w:r>
          </w:p>
          <w:bookmarkEnd w:id="39"/>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5</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3" w:name="fig-alignment_signif"/>
          <w:p>
            <w:pPr>
              <w:pStyle w:val="Compact"/>
              <w:jc w:val="center"/>
            </w:pPr>
            <w:r>
              <w:drawing>
                <wp:inline>
                  <wp:extent cx="5334000" cy="2667000"/>
                  <wp:effectExtent b="0" l="0" r="0" t="0"/>
                  <wp:docPr descr="" title="" id="41" name="Picture"/>
                  <a:graphic>
                    <a:graphicData uri="http://schemas.openxmlformats.org/drawingml/2006/picture">
                      <pic:pic>
                        <pic:nvPicPr>
                          <pic:cNvPr descr="figures/heatmap_zscores.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3"/>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4"/>
    <w:bookmarkStart w:id="74" w:name="predictors-of-stability"/>
    <w:p>
      <w:pPr>
        <w:pStyle w:val="Heading2"/>
      </w:pPr>
      <w:r>
        <w:t xml:space="preserve">3.4 Predictors of stability</w:t>
      </w:r>
    </w:p>
    <w:bookmarkStart w:id="49"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132"/>
        <w:gridCol w:w="1624"/>
        <w:gridCol w:w="2030"/>
        <w:gridCol w:w="2132"/>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8" w:name="fig-dim_red"/>
          <w:p>
            <w:pPr>
              <w:pStyle w:val="Compact"/>
              <w:jc w:val="center"/>
            </w:pPr>
            <w:r>
              <w:drawing>
                <wp:inline>
                  <wp:extent cx="5334000" cy="6788727"/>
                  <wp:effectExtent b="0" l="0" r="0" t="0"/>
                  <wp:docPr descr="" title="" id="46" name="Picture"/>
                  <a:graphic>
                    <a:graphicData uri="http://schemas.openxmlformats.org/drawingml/2006/picture">
                      <pic:pic>
                        <pic:nvPicPr>
                          <pic:cNvPr descr="figures/fig_dimensional_reduction.png" id="47" name="Picture"/>
                          <pic:cNvPicPr>
                            <a:picLocks noChangeArrowheads="1" noChangeAspect="1"/>
                          </pic:cNvPicPr>
                        </pic:nvPicPr>
                        <pic:blipFill>
                          <a:blip r:embed="rId45"/>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i/>
                <w:iCs/>
              </w:rPr>
              <w:t xml:space="preserve">Figure S1.</w:t>
            </w:r>
            <w:r>
              <w:t xml:space="preserve"> </w:t>
            </w:r>
            <w:r>
              <w:t xml:space="preserve">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8"/>
        </w:tc>
      </w:tr>
    </w:tbl>
    <w:bookmarkEnd w:id="49"/>
    <w:bookmarkStart w:id="56" w:name="Xc84dddb6d18a1e743db36dc7aa62f328aa8c858"/>
    <w:p>
      <w:pPr>
        <w:pStyle w:val="Heading3"/>
      </w:pPr>
      <w:r>
        <w:t xml:space="preserve">3.4.2 Predictive Performance Across Structural Representations</w:t>
      </w:r>
    </w:p>
    <w:bookmarkStart w:id="54"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3" w:name="fig-var_pred"/>
          <w:p>
            <w:pPr>
              <w:pStyle w:val="Compact"/>
              <w:jc w:val="center"/>
            </w:pPr>
            <w:r>
              <w:drawing>
                <wp:inline>
                  <wp:extent cx="5334000" cy="4513384"/>
                  <wp:effectExtent b="0" l="0" r="0" t="0"/>
                  <wp:docPr descr="" title="" id="51" name="Picture"/>
                  <a:graphic>
                    <a:graphicData uri="http://schemas.openxmlformats.org/drawingml/2006/picture">
                      <pic:pic>
                        <pic:nvPicPr>
                          <pic:cNvPr descr="figures/struct_stability_summ.png" id="52" name="Picture"/>
                          <pic:cNvPicPr>
                            <a:picLocks noChangeArrowheads="1" noChangeAspect="1"/>
                          </pic:cNvPicPr>
                        </pic:nvPicPr>
                        <pic:blipFill>
                          <a:blip r:embed="rId50"/>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Predictive performance of alternative structural representations across stability components. Bars show cross-validated variance explained (R²) for each stability component (facets) under three representations of network structure: cluster-level descriptors, dominant structural metrics, and principal component scores. Bar height represents the total variance explained by each representation, while coloured segments indicate the proportional contribution of structural modules to that predictive signal. This partitioning highlights how different domains of network architecture contribute to explaining variation in stability across representations. B: Regularisation structure across stability components and structural representations. Bars show the mean elastic-net mixing parameter (α) across repeated cross-validation folds. Values near zero indicate ridge-like models where predictive signal is distributed across many correlated structural predictors, whereas values near one indicate lasso-like models where predictive power is concentrated in a small number of predictors. Together, panels illustrate how both the explanatory strength and structural concentration of stability predictors depend on how network structure is represented.</w:t>
            </w:r>
          </w:p>
          <w:bookmarkEnd w:id="53"/>
        </w:tc>
      </w:tr>
    </w:tbl>
    <w:bookmarkEnd w:id="54"/>
    <w:bookmarkStart w:id="55"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5"/>
    <w:bookmarkEnd w:id="56"/>
    <w:bookmarkStart w:id="73"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60" w:name="fig-stab_corr"/>
          <w:p>
            <w:pPr>
              <w:pStyle w:val="Compact"/>
              <w:jc w:val="center"/>
            </w:pPr>
            <w:r>
              <w:drawing>
                <wp:inline>
                  <wp:extent cx="5334000" cy="4267200"/>
                  <wp:effectExtent b="0" l="0" r="0" t="0"/>
                  <wp:docPr descr="" title="" id="58" name="Picture"/>
                  <a:graphic>
                    <a:graphicData uri="http://schemas.openxmlformats.org/drawingml/2006/picture">
                      <pic:pic>
                        <pic:nvPicPr>
                          <pic:cNvPr descr="figures/struct_stability_coeff.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6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stab_var_metric"/>
          <w:p>
            <w:pPr>
              <w:pStyle w:val="Compact"/>
              <w:jc w:val="center"/>
            </w:pPr>
            <w:r>
              <w:drawing>
                <wp:inline>
                  <wp:extent cx="5334000" cy="3733799"/>
                  <wp:effectExtent b="0" l="0" r="0" t="0"/>
                  <wp:docPr descr="" title="" id="62" name="Picture"/>
                  <a:graphic>
                    <a:graphicData uri="http://schemas.openxmlformats.org/drawingml/2006/picture">
                      <pic:pic>
                        <pic:nvPicPr>
                          <pic:cNvPr descr="figures/struct_stability_variance.png" id="63" name="Picture"/>
                          <pic:cNvPicPr>
                            <a:picLocks noChangeArrowheads="1" noChangeAspect="1"/>
                          </pic:cNvPicPr>
                        </pic:nvPicPr>
                        <pic:blipFill>
                          <a:blip r:embed="rId6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Contribution of individual structural descriptors to the variance explained in ecological stability. Points and horizontal segments show the proportion of variance in each stability metric (robustness, return rate ρ, and dynamical complexity) explained by each predictor, estimated from standardized elastic-net coefficients. Panels are organized by structural representation (rows) and stability metric (columns). Colours indicate the structural module or domain to which each metric belongs; metrics not assigned to a module (“PCA Axis”) are shown in grey-green. This visualization highlights which individual network descriptors most strongly influence model predictions, while also revealing variation in importance across representations and stability components.</w:t>
            </w:r>
          </w:p>
          <w:bookmarkEnd w:id="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stab_var_module"/>
          <w:p>
            <w:pPr>
              <w:pStyle w:val="Compact"/>
              <w:jc w:val="center"/>
            </w:pPr>
            <w:r>
              <w:drawing>
                <wp:inline>
                  <wp:extent cx="5334000" cy="2051538"/>
                  <wp:effectExtent b="0" l="0" r="0" t="0"/>
                  <wp:docPr descr="" title="" id="66" name="Picture"/>
                  <a:graphic>
                    <a:graphicData uri="http://schemas.openxmlformats.org/drawingml/2006/picture">
                      <pic:pic>
                        <pic:nvPicPr>
                          <pic:cNvPr descr="figures/struct_stability_variance_module.png" id="67" name="Picture"/>
                          <pic:cNvPicPr>
                            <a:picLocks noChangeArrowheads="1" noChangeAspect="1"/>
                          </pic:cNvPicPr>
                        </pic:nvPicPr>
                        <pic:blipFill>
                          <a:blip r:embed="rId65"/>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Contributions of structural modules to the variance explained in ecological stability. Bars show the proportion of variance in each stability metric explained by elastic-net models, aggregated across structural domains (modules) or PCA axes. Total bar height reflects the overall model predictive performance (R2), while coloured segments represent the relative contribution of each module, estimated from the sum of squared standardized coefficients. Facets separate stability metrics, and bar groups correspond to alternative structural representations (cluster medoids, dominant metrics, PCA scores). This representation summarizes how stability is shaped by collective architectural dimensions, demonstrating which modules—such as macro-architectural complexity, trophic integration, energy transport, and trophic asymmetry—drive variation in system-level stability.</w:t>
            </w:r>
          </w:p>
          <w:bookmarkEnd w:id="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fig-pca_struct_stability.png"/>
          <w:p>
            <w:pPr>
              <w:pStyle w:val="Compact"/>
              <w:jc w:val="center"/>
            </w:pPr>
            <w:r>
              <w:drawing>
                <wp:inline>
                  <wp:extent cx="5334000" cy="2909454"/>
                  <wp:effectExtent b="0" l="0" r="0" t="0"/>
                  <wp:docPr descr="" title="" id="70" name="Picture"/>
                  <a:graphic>
                    <a:graphicData uri="http://schemas.openxmlformats.org/drawingml/2006/picture">
                      <pic:pic>
                        <pic:nvPicPr>
                          <pic:cNvPr descr="figures/pca_struct_stability.png" id="71" name="Picture"/>
                          <pic:cNvPicPr>
                            <a:picLocks noChangeArrowheads="1" noChangeAspect="1"/>
                          </pic:cNvPicPr>
                        </pic:nvPicPr>
                        <pic:blipFill>
                          <a:blip r:embed="rId69"/>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Food web structural variation and stability landscape. Points represent individual networks projected into structural principal component space, with the x- and y-axes corresponding to PC1 and PC2 of the network-level metrics. Point size (scaled independently within each stability metric) reflects the relative magnitude of the associated stability measure (robustness, ρ, or complexity) across networks. Arrows indicate the contribution of structural modules (e.g., macro-architectural complexity, trophic integration, energy transport, trophic asymmetry, control heterogeneity, centralisation, and functional redundancy) to the PCA axes, approximating the structural domains most associated with variation in network configuration. Facets separate stability metrics (rows) and structural representations (columns), highlighting how different network structures relate to each stability component. Arrow length is globally scaled for visibility, with module orientation showing the direction of increasing module values in PCA space.</w:t>
            </w:r>
          </w:p>
          <w:bookmarkEnd w:id="72"/>
        </w:tc>
      </w:tr>
    </w:tbl>
    <w:bookmarkEnd w:id="73"/>
    <w:bookmarkEnd w:id="74"/>
    <w:bookmarkEnd w:id="75"/>
    <w:bookmarkStart w:id="80" w:name="discussion"/>
    <w:p>
      <w:pPr>
        <w:pStyle w:val="Heading1"/>
      </w:pPr>
      <w:r>
        <w:t xml:space="preserve">4. Discussion</w:t>
      </w:r>
    </w:p>
    <w:bookmarkStart w:id="76" w:name="network-structure-is-multidimensional"/>
    <w:p>
      <w:pPr>
        <w:pStyle w:val="Heading2"/>
      </w:pPr>
      <w:r>
        <w:t xml:space="preserve">4.1 Network structure is multidimensional</w:t>
      </w:r>
    </w:p>
    <w:p>
      <w:pPr>
        <w:pStyle w:val="FirstParagraph"/>
      </w:pPr>
      <w:r>
        <w:t xml:space="preserve">For several decades, ecological theory has sought to understand how the structure of food webs influences ecological stability. Yet despite extensive empirical and theoretical work, consensus has remained elusive. Different studies frequently identify different structural predictors of stability, and results often appear contradictory. Connectance has been linked both positively and negatively to stability, omnivory has been argued to stabilise or destabilise communities, and measures of modularity, trophic organisation, or motif structure have each been proposed as key determinants of ecosystem dynamics.</w:t>
      </w:r>
    </w:p>
    <w:p>
      <w:pPr>
        <w:pStyle w:val="BodyText"/>
      </w:pPr>
      <w:r>
        <w:t xml:space="preserve">Our results suggest that much of this inconsistency may arise from a conceptual simplification: network structure is rarely a single property. Instead, food-web architecture appears to be organised along several coherent dimensions of variation. Structural metrics commonly used in ecological studies do not behave as independent descriptors, nor do they represent interchangeable proxies for a single structural attribute. Rather, they cluster into statistically robust modules that capture distinct aspects of network organisation.</w:t>
      </w:r>
    </w:p>
    <w:p>
      <w:pPr>
        <w:pStyle w:val="BodyText"/>
      </w:pPr>
      <w:r>
        <w:t xml:space="preserve">This modular structure implies that ecological networks occupy a multidimensional structural space, in which different metrics describe different axes of variation in how interactions are arranged. In this view, commonly used descriptors such as connectance, trophic level, motif frequencies, or network distance are not competing measurements of the same property but rather partial projections of a more complex architectural system. The structure–stability debate has therefore often compared results derived from fundamentally different structural dimensions.</w:t>
      </w:r>
    </w:p>
    <w:p>
      <w:pPr>
        <w:pStyle w:val="BodyText"/>
      </w:pPr>
      <w:r>
        <w:t xml:space="preserve">## Structural modules reveal dimensions of network architecture</w:t>
      </w:r>
    </w:p>
    <w:p>
      <w:pPr>
        <w:pStyle w:val="BodyText"/>
      </w:pPr>
      <w:r>
        <w:t xml:space="preserve">The clustering analysis revealed consistent groupings of metrics describing different aspects of food-web organisation. Some modules correspond to large-scale architectural expansion, integrating species richness, interaction density, motif frequencies, and global network properties. Others capture more specific aspects of trophic organisation, such as the degree of vertical integration among trophic levels or the geometry of energy-transfer pathways.</w:t>
      </w:r>
    </w:p>
    <w:p>
      <w:pPr>
        <w:pStyle w:val="BodyText"/>
      </w:pPr>
      <w:r>
        <w:t xml:space="preserve">The emergence of these modules indicates that food-web structure is not best understood as a flat collection of descriptors but as a hierarchically organised architectural system. Certain structural properties scale together as networks expand, while others vary independently and represent alternative ways of organising trophic interactions.</w:t>
      </w:r>
    </w:p>
    <w:p>
      <w:pPr>
        <w:pStyle w:val="BodyText"/>
      </w:pPr>
      <w:r>
        <w:t xml:space="preserve">Importantly, the existence of these modules suggests that the large number of metrics currently used in network ecology largely represent a smaller number of underlying structural domains. Many descriptors capture overlapping information, whereas others represent distinct aspects of network organisation that are rarely considered together. Recognising these domains provides a principled basis for reducing metric redundancy and for interpreting structural patterns across ecosystems.</w:t>
      </w:r>
    </w:p>
    <w:bookmarkEnd w:id="76"/>
    <w:bookmarkStart w:id="77" w:name="Xad7d45b1333a2fd236e1c6c9a9acd7bd855f2b7"/>
    <w:p>
      <w:pPr>
        <w:pStyle w:val="Heading2"/>
      </w:pPr>
      <w:r>
        <w:t xml:space="preserve">4.2 Reinterpreting the structure–stability debate</w:t>
      </w:r>
    </w:p>
    <w:p>
      <w:pPr>
        <w:pStyle w:val="BlockText"/>
      </w:pPr>
      <w:r>
        <w:t xml:space="preserve">e.g., May 1972 vs. McCann 2000 looks like a contradiction. However results suggest they were simply looking at different modules. May’s work focused on Return (spectral properties), while McCann focused on Persistence/Resistance (pathway dampening). By identifying these as independent axes in the PCA, we show that a network can be structurally complex (low return stability) but modularly dampened (high resistance).</w:t>
      </w:r>
    </w:p>
    <w:p>
      <w:pPr>
        <w:pStyle w:val="FirstParagraph"/>
      </w:pPr>
      <w:r>
        <w:t xml:space="preserve">The multidimensional nature of network structure has important implications for how stability relationships are interpreted. Much of the historical debate surrounding ecological stability has implicitly treated “structure” as a single explanatory variable. Studies typically select one or a small number of metrics and evaluate their relationship with a particular stability measure. However, if structural descriptors capture different architectural dimensions, then such analyses effectively examine different slices of structural space.</w:t>
      </w:r>
    </w:p>
    <w:p>
      <w:pPr>
        <w:pStyle w:val="BodyText"/>
      </w:pPr>
      <w:r>
        <w:t xml:space="preserve">Under this interpretation, apparently conflicting results across studies become less surprising. A study focusing on connectance may capture variation in trophic integration, while another emphasising motif frequencies may instead reflect changes in network expansion and pathway complexity. Each metric may relate to stability through different mechanisms, yet comparisons between them have often been framed as competing tests of the same hypothesis. Rather than asking which structural metric best predicts stability, it may therefore be more productive to ask which dimension of network architecture is relevant to a given stability mechanism. Stability itself is a multidimensional property, encompassing processes such as persistence, resistance to disturbance, and the reorganisation of interaction pathways following perturbation. Different structural domains may influence these processes through distinct ecological mechanisms. Our analysis does not attempt to resolve which particular metrics control specific stability outcomes. Instead, it highlights the need to reframe the problem: understanding ecological stability requires considering how multiple structural dimensions interact with different dynamical processes.</w:t>
      </w:r>
    </w:p>
    <w:bookmarkEnd w:id="77"/>
    <w:bookmarkStart w:id="78" w:name="X815e10819c719fd889b2df0b0165ed3bc35efe2"/>
    <w:p>
      <w:pPr>
        <w:pStyle w:val="Heading2"/>
      </w:pPr>
      <w:r>
        <w:t xml:space="preserve">4.3 Implications for the design of network analyses</w:t>
      </w:r>
    </w:p>
    <w:p>
      <w:pPr>
        <w:pStyle w:val="FirstParagraph"/>
      </w:pPr>
      <w:r>
        <w:t xml:space="preserve">Recognising the multidimensional structure of food webs has practical implications for ecological analysis. First, it suggests that the common practice of selecting individual network metrics in isolation may obscure important structural relationships. Because many metrics capture overlapping aspects of network architecture, analyses based on a single descriptor may inadvertently reflect broader structural domains. Second, dimensionality reduction approaches provide a useful framework for representing network structure more coherently. By identifying modules of related metrics or latent axes of structural variation, researchers can characterise the major architectural gradients that define network organisation. Such approaches preserve the diversity of structural features while avoiding redundancy among descriptors. Finally, this perspective encourages a shift from metric-driven analyses toward process-driven structural representation. Rather than selecting metrics based on convention, analyses can instead focus on structural domains most relevant to the ecological process under investigation. This approach may provide clearer mechanistic insight into how network architecture shapes ecosystem dynamics.</w:t>
      </w:r>
    </w:p>
    <w:bookmarkEnd w:id="78"/>
    <w:bookmarkStart w:id="79" w:name="X52687e34ca02f886d47f2b738d6800472257c16"/>
    <w:p>
      <w:pPr>
        <w:pStyle w:val="Heading2"/>
      </w:pPr>
      <w:r>
        <w:t xml:space="preserve">4.4 Toward a structural framework for ecological networks</w:t>
      </w:r>
    </w:p>
    <w:p>
      <w:pPr>
        <w:pStyle w:val="FirstParagraph"/>
      </w:pPr>
      <w:r>
        <w:t xml:space="preserve">The results presented here suggest that the architecture of ecological networks can be understood as a low-dimensional structural system emerging from the interactions among species and their trophic roles. Within this system, individual metrics represent different projections of a broader architectural space. Recognising this structure does not eliminate the complexity of ecological networks, but it provides a way to organise and interpret that complexity more coherently. More broadly, this perspective highlights the importance of treating network structure as a multivariate ecological property rather than a collection of independent descriptors. Just as biodiversity is now understood through multiple complementary dimensions, including richness, composition, and functional traits, the structure of ecological networks may be best described through a set of interacting architectural domains. Future work linking network structure to ecosystem dynamics may therefore benefit from explicitly considering this multidimensional framework. By aligning structural dimensions with ecological processes and dynamical mechanisms, it may be possible to move beyond debates over individual metrics and toward a more unified understanding of how interaction networks shape the stability of ecological systems.</w:t>
      </w:r>
    </w:p>
    <w:bookmarkEnd w:id="79"/>
    <w:bookmarkEnd w:id="80"/>
    <w:bookmarkStart w:id="81" w:name="conclusion"/>
    <w:p>
      <w:pPr>
        <w:pStyle w:val="Heading1"/>
      </w:pPr>
      <w:r>
        <w:t xml:space="preserve">5. Conclusion</w:t>
      </w:r>
    </w:p>
    <w:p>
      <w:pPr>
        <w:pStyle w:val="FirstParagraph"/>
      </w:pPr>
      <w:r>
        <w:t xml:space="preserve">The long-standing structure–stability debate in ecology may not reflect disagreement about ecological mechanisms, but rather the fact that network structure itself is multidimensional, and different studies have examined different dimensions of the same architectural system.</w:t>
      </w:r>
    </w:p>
    <w:bookmarkEnd w:id="81"/>
    <w:bookmarkStart w:id="113" w:name="references"/>
    <w:p>
      <w:pPr>
        <w:pStyle w:val="Heading1"/>
      </w:pPr>
      <w:r>
        <w:t xml:space="preserve">References</w:t>
      </w:r>
    </w:p>
    <w:bookmarkStart w:id="112" w:name="refs"/>
    <w:bookmarkStart w:id="83" w:name="ref-vermaatMajorDimensionsFoodweb2009"/>
    <w:p>
      <w:pPr>
        <w:pStyle w:val="Bibliography"/>
      </w:pPr>
      <w:r>
        <w:t xml:space="preserve">1.</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82">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83"/>
    <w:bookmarkStart w:id="85" w:name="ref-lauEcologicalNetworkMetrics2017"/>
    <w:p>
      <w:pPr>
        <w:pStyle w:val="Bibliography"/>
      </w:pPr>
      <w:r>
        <w:t xml:space="preserve">2.</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84">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85"/>
    <w:bookmarkStart w:id="87" w:name="ref-ivesStabilityDiversityEcosystems2007"/>
    <w:p>
      <w:pPr>
        <w:pStyle w:val="Bibliography"/>
      </w:pPr>
      <w:r>
        <w:t xml:space="preserve">3.</w:t>
      </w:r>
      <w:r>
        <w:t xml:space="preserve"> </w:t>
      </w:r>
      <w:r>
        <w:t xml:space="preserve">	</w:t>
      </w:r>
      <w:r>
        <w:t xml:space="preserve">Ives, A.R. and Carpenter, S.R. (2007)</w:t>
      </w:r>
      <w:r>
        <w:t xml:space="preserve"> </w:t>
      </w:r>
      <w:hyperlink r:id="rId86">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w:t>
      </w:r>
      <w:r>
        <w:t xml:space="preserve"> </w:t>
      </w:r>
      <w:r>
        <w:rPr>
          <w:i/>
          <w:iCs/>
        </w:rPr>
        <w:t xml:space="preserve">Science</w:t>
      </w:r>
      <w:r>
        <w:t xml:space="preserve"> </w:t>
      </w:r>
      <w:r>
        <w:t xml:space="preserve">317, 58–62</w:t>
      </w:r>
    </w:p>
    <w:bookmarkEnd w:id="87"/>
    <w:bookmarkStart w:id="89" w:name="ref-thompsonFoodWebsReconciling2012"/>
    <w:p>
      <w:pPr>
        <w:pStyle w:val="Bibliography"/>
      </w:pPr>
      <w:r>
        <w:t xml:space="preserve">4.</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88">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89"/>
    <w:bookmarkStart w:id="91" w:name="ref-allesinaStabilityCriteriaComplex2012"/>
    <w:p>
      <w:pPr>
        <w:pStyle w:val="Bibliography"/>
      </w:pPr>
      <w:r>
        <w:t xml:space="preserve">5.</w:t>
      </w:r>
      <w:r>
        <w:t xml:space="preserve"> </w:t>
      </w:r>
      <w:r>
        <w:t xml:space="preserve">	</w:t>
      </w:r>
      <w:r>
        <w:t xml:space="preserve">Allesina, S. and Tang, S. (2012)</w:t>
      </w:r>
      <w:r>
        <w:t xml:space="preserve"> </w:t>
      </w:r>
      <w:hyperlink r:id="rId90">
        <w:r>
          <w:rPr>
            <w:rStyle w:val="Hyperlink"/>
          </w:rPr>
          <w:t xml:space="preserve">Stability criteria for complex ecosystems</w:t>
        </w:r>
      </w:hyperlink>
      <w:r>
        <w:t xml:space="preserve">.</w:t>
      </w:r>
      <w:r>
        <w:t xml:space="preserve"> </w:t>
      </w:r>
      <w:r>
        <w:rPr>
          <w:i/>
          <w:iCs/>
        </w:rPr>
        <w:t xml:space="preserve">Nature</w:t>
      </w:r>
      <w:r>
        <w:t xml:space="preserve"> </w:t>
      </w:r>
      <w:r>
        <w:t xml:space="preserve">483, 205–208</w:t>
      </w:r>
    </w:p>
    <w:bookmarkEnd w:id="91"/>
    <w:bookmarkStart w:id="93" w:name="ref-williamsLimitsTrophicLevels2004"/>
    <w:p>
      <w:pPr>
        <w:pStyle w:val="Bibliography"/>
      </w:pPr>
      <w:r>
        <w:t xml:space="preserve">6.</w:t>
      </w:r>
      <w:r>
        <w:t xml:space="preserve"> </w:t>
      </w:r>
      <w:r>
        <w:t xml:space="preserve">	</w:t>
      </w:r>
      <w:r>
        <w:t xml:space="preserve">Williams, R.J. and Martinez, N.D. (2004)</w:t>
      </w:r>
      <w:r>
        <w:t xml:space="preserve"> </w:t>
      </w:r>
      <w:hyperlink r:id="rId92">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93"/>
    <w:bookmarkStart w:id="95" w:name="X781f7e482417d8f33d808967da8cf24a047c245"/>
    <w:p>
      <w:pPr>
        <w:pStyle w:val="Bibliography"/>
      </w:pPr>
      <w:r>
        <w:t xml:space="preserve">7.</w:t>
      </w:r>
      <w:r>
        <w:t xml:space="preserve"> </w:t>
      </w:r>
      <w:r>
        <w:t xml:space="preserve">	</w:t>
      </w:r>
      <w:r>
        <w:t xml:space="preserve">Yodzis, P. and Winemiller, K.O. (1999)</w:t>
      </w:r>
      <w:r>
        <w:t xml:space="preserve"> </w:t>
      </w:r>
      <w:hyperlink r:id="rId94">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95"/>
    <w:bookmarkStart w:id="97" w:name="ref-estradaUsingNetworkCentrality2008"/>
    <w:p>
      <w:pPr>
        <w:pStyle w:val="Bibliography"/>
      </w:pPr>
      <w:r>
        <w:t xml:space="preserve">8.</w:t>
      </w:r>
      <w:r>
        <w:t xml:space="preserve"> </w:t>
      </w:r>
      <w:r>
        <w:t xml:space="preserve">	</w:t>
      </w:r>
      <w:r>
        <w:t xml:space="preserve">Estrada, E. and Bodin, Ö. (2008)</w:t>
      </w:r>
      <w:r>
        <w:t xml:space="preserve"> </w:t>
      </w:r>
      <w:hyperlink r:id="rId96">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97"/>
    <w:bookmarkStart w:id="99" w:name="ref-mccannDiversityStabilityDebate2000"/>
    <w:p>
      <w:pPr>
        <w:pStyle w:val="Bibliography"/>
      </w:pPr>
      <w:r>
        <w:t xml:space="preserve">9.</w:t>
      </w:r>
      <w:r>
        <w:t xml:space="preserve"> </w:t>
      </w:r>
      <w:r>
        <w:t xml:space="preserve">	</w:t>
      </w:r>
      <w:r>
        <w:t xml:space="preserve">McCann, K.S. (2000)</w:t>
      </w:r>
      <w:r>
        <w:t xml:space="preserve"> </w:t>
      </w:r>
      <w:hyperlink r:id="rId98">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99"/>
    <w:bookmarkStart w:id="101" w:name="X5f45a7a099d08070703fc184810d23dd2e88abd"/>
    <w:p>
      <w:pPr>
        <w:pStyle w:val="Bibliography"/>
      </w:pPr>
      <w:r>
        <w:t xml:space="preserve">10.</w:t>
      </w:r>
      <w:r>
        <w:t xml:space="preserve"> </w:t>
      </w:r>
      <w:r>
        <w:t xml:space="preserve">	</w:t>
      </w:r>
      <w:r>
        <w:t xml:space="preserve">Watts, D.J. and Strogatz, S.H. (1998)</w:t>
      </w:r>
      <w:r>
        <w:t xml:space="preserve"> </w:t>
      </w:r>
      <w:hyperlink r:id="rId100">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101"/>
    <w:bookmarkStart w:id="103" w:name="ref-stoufferRobustMeasureFood2006a"/>
    <w:p>
      <w:pPr>
        <w:pStyle w:val="Bibliography"/>
      </w:pPr>
      <w:r>
        <w:t xml:space="preserve">11.</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102">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103"/>
    <w:bookmarkStart w:id="105" w:name="ref-strydomSVDEntropyReveals2021"/>
    <w:p>
      <w:pPr>
        <w:pStyle w:val="Bibliography"/>
      </w:pPr>
      <w:r>
        <w:t xml:space="preserve">12.</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104">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105"/>
    <w:bookmarkStart w:id="107" w:name="ref-jonssonReliabilityR50Measure2015"/>
    <w:p>
      <w:pPr>
        <w:pStyle w:val="Bibliography"/>
      </w:pPr>
      <w:r>
        <w:t xml:space="preserve">13.</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106">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107"/>
    <w:bookmarkStart w:id="109" w:name="ref-stoufferEvidenceExistenceRobust2007"/>
    <w:p>
      <w:pPr>
        <w:pStyle w:val="Bibliography"/>
      </w:pPr>
      <w:r>
        <w:t xml:space="preserve">14.</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108">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109"/>
    <w:bookmarkStart w:id="111" w:name="ref-miloNetworkMotifsSimple2002"/>
    <w:p>
      <w:pPr>
        <w:pStyle w:val="Bibliography"/>
      </w:pPr>
      <w:r>
        <w:t xml:space="preserve">15.</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110">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32" Target="media/rId32.png" /><Relationship Type="http://schemas.openxmlformats.org/officeDocument/2006/relationships/hyperlink" Id="rId84" Target="https://doi.org/10.1002/ecs2.1900" TargetMode="External" /><Relationship Type="http://schemas.openxmlformats.org/officeDocument/2006/relationships/hyperlink" Id="rId88" Target="https://doi.org/10.1016/j.tree.2012.08.005" TargetMode="External" /><Relationship Type="http://schemas.openxmlformats.org/officeDocument/2006/relationships/hyperlink" Id="rId100" Target="https://doi.org/10.1038/30918" TargetMode="External" /><Relationship Type="http://schemas.openxmlformats.org/officeDocument/2006/relationships/hyperlink" Id="rId98" Target="https://doi.org/10.1038/35012234" TargetMode="External" /><Relationship Type="http://schemas.openxmlformats.org/officeDocument/2006/relationships/hyperlink" Id="rId90" Target="https://doi.org/10.1038/nature10832" TargetMode="External" /><Relationship Type="http://schemas.openxmlformats.org/officeDocument/2006/relationships/hyperlink" Id="rId102" Target="https://doi.org/10.1073/pnas.0603844103" TargetMode="External" /><Relationship Type="http://schemas.openxmlformats.org/officeDocument/2006/relationships/hyperlink" Id="rId92" Target="https://doi.org/10.1086/381964" TargetMode="External" /><Relationship Type="http://schemas.openxmlformats.org/officeDocument/2006/relationships/hyperlink" Id="rId108" Target="https://doi.org/10.1098/rspb.2007.0571" TargetMode="External" /><Relationship Type="http://schemas.openxmlformats.org/officeDocument/2006/relationships/hyperlink" Id="rId106" Target="https://doi.org/10.1111/oik.01588" TargetMode="External" /><Relationship Type="http://schemas.openxmlformats.org/officeDocument/2006/relationships/hyperlink" Id="rId86" Target="https://doi.org/10.1126/science.1133258" TargetMode="External" /><Relationship Type="http://schemas.openxmlformats.org/officeDocument/2006/relationships/hyperlink" Id="rId110" Target="https://doi.org/10.1126/science.298.5594.824" TargetMode="External" /><Relationship Type="http://schemas.openxmlformats.org/officeDocument/2006/relationships/hyperlink" Id="rId82" Target="https://doi.org/10.1890/07-0978.1" TargetMode="External" /><Relationship Type="http://schemas.openxmlformats.org/officeDocument/2006/relationships/hyperlink" Id="rId96" Target="https://doi.org/10.1890/07-1419.1" TargetMode="External" /><Relationship Type="http://schemas.openxmlformats.org/officeDocument/2006/relationships/hyperlink" Id="rId94" Target="https://doi.org/10.2307/3546748" TargetMode="External" /><Relationship Type="http://schemas.openxmlformats.org/officeDocument/2006/relationships/hyperlink" Id="rId104"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2/ecs2.1900" TargetMode="External" /><Relationship Type="http://schemas.openxmlformats.org/officeDocument/2006/relationships/hyperlink" Id="rId88" Target="https://doi.org/10.1016/j.tree.2012.08.005" TargetMode="External" /><Relationship Type="http://schemas.openxmlformats.org/officeDocument/2006/relationships/hyperlink" Id="rId100" Target="https://doi.org/10.1038/30918" TargetMode="External" /><Relationship Type="http://schemas.openxmlformats.org/officeDocument/2006/relationships/hyperlink" Id="rId98" Target="https://doi.org/10.1038/35012234" TargetMode="External" /><Relationship Type="http://schemas.openxmlformats.org/officeDocument/2006/relationships/hyperlink" Id="rId90" Target="https://doi.org/10.1038/nature10832" TargetMode="External" /><Relationship Type="http://schemas.openxmlformats.org/officeDocument/2006/relationships/hyperlink" Id="rId102" Target="https://doi.org/10.1073/pnas.0603844103" TargetMode="External" /><Relationship Type="http://schemas.openxmlformats.org/officeDocument/2006/relationships/hyperlink" Id="rId92" Target="https://doi.org/10.1086/381964" TargetMode="External" /><Relationship Type="http://schemas.openxmlformats.org/officeDocument/2006/relationships/hyperlink" Id="rId108" Target="https://doi.org/10.1098/rspb.2007.0571" TargetMode="External" /><Relationship Type="http://schemas.openxmlformats.org/officeDocument/2006/relationships/hyperlink" Id="rId106" Target="https://doi.org/10.1111/oik.01588" TargetMode="External" /><Relationship Type="http://schemas.openxmlformats.org/officeDocument/2006/relationships/hyperlink" Id="rId86" Target="https://doi.org/10.1126/science.1133258" TargetMode="External" /><Relationship Type="http://schemas.openxmlformats.org/officeDocument/2006/relationships/hyperlink" Id="rId110" Target="https://doi.org/10.1126/science.298.5594.824" TargetMode="External" /><Relationship Type="http://schemas.openxmlformats.org/officeDocument/2006/relationships/hyperlink" Id="rId82" Target="https://doi.org/10.1890/07-0978.1" TargetMode="External" /><Relationship Type="http://schemas.openxmlformats.org/officeDocument/2006/relationships/hyperlink" Id="rId96" Target="https://doi.org/10.1890/07-1419.1" TargetMode="External" /><Relationship Type="http://schemas.openxmlformats.org/officeDocument/2006/relationships/hyperlink" Id="rId94" Target="https://doi.org/10.2307/3546748" TargetMode="External" /><Relationship Type="http://schemas.openxmlformats.org/officeDocument/2006/relationships/hyperlink" Id="rId104"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Stability Debate</dc:title>
  <dc:creator>Tanya Strydom; Andrew P. Beckerman</dc:creator>
  <cp:keywords>food web, structure, dimensionality reduction</cp:keywords>
  <dcterms:created xsi:type="dcterms:W3CDTF">2026-03-10T16:23:44Z</dcterms:created>
  <dcterms:modified xsi:type="dcterms:W3CDTF">2026-03-10T16:23:44Z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2026-03-10</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