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4.png" ContentType="image/png"/>
  <Override PartName="/word/media/rId39.png" ContentType="image/png"/>
  <Override PartName="/word/media/rId35.png" ContentType="image/png"/>
  <Override PartName="/word/media/rId31.png" ContentType="image/png"/>
  <Override PartName="/word/media/rId5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dimensions of network structure underlie ecological stability</w:t>
      </w:r>
    </w:p>
    <w:p>
      <w:pPr>
        <w:pStyle w:val="Author"/>
      </w:pPr>
      <w:r>
        <w:t xml:space="preserve">Tanya Strydom</w:t>
      </w:r>
    </w:p>
    <w:p>
      <w:pPr>
        <w:pStyle w:val="Author"/>
      </w:pPr>
      <w:r>
        <w:t xml:space="preserve">Andrew P. Beckerman</w:t>
      </w:r>
    </w:p>
    <w:p>
      <w:pPr>
        <w:pStyle w:val="Date"/>
      </w:pPr>
      <w:r>
        <w:t xml:space="preserve">2026-03-04</w:t>
      </w:r>
    </w:p>
    <w:p>
      <w:pPr>
        <w:pStyle w:val="AbstractTitle"/>
      </w:pPr>
      <w:r>
        <w:t xml:space="preserve">Abstract</w:t>
      </w:r>
    </w:p>
    <w:p>
      <w:pPr>
        <w:pStyle w:val="Abstract"/>
      </w:pPr>
      <w:r>
        <w:t xml:space="preserve">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w:t>
      </w:r>
      <w:r>
        <w:t xml:space="preserve"> </w:t>
      </w:r>
      <w:r>
        <w:t xml:space="preserve">‘stability’</w:t>
      </w:r>
      <w:r>
        <w:t xml:space="preserve"> </w:t>
      </w:r>
      <w:r>
        <w:t xml:space="preserve">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w:t>
      </w:r>
    </w:p>
    <w:bookmarkStart w:id="12"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BlockText"/>
      </w:pPr>
      <w:r>
        <w:t xml:space="preserve">Emergent property (thinking like the cool tensor work/dynamic models) vs static metrics (using one measure of structure)</w:t>
      </w:r>
    </w:p>
    <w:p>
      <w:pPr>
        <w:pStyle w:val="FirstParagraph"/>
      </w:pPr>
      <w:r>
        <w:t xml:space="preserve">Ecological networks are commonly characterised using a large and diverse set of structural metrics, yet there remains little consensus on how these metrics should be interpreted or compared across studies (Vermaat et al. 2009; Lau et al. 2017). We argue that this difficulty arises because network structure is not a single property, but a hierarchy of interrelated components that encode different aspects of how energy moves through an ecosystem (Ulanowicz 1986; Thompson et al. 2012). Metrics derived at different structural scales therefore capture different ecological processes and, consequently, relate to different components of stability. Making these distinctions explicit is essential for interpreting patterns of structure–stability relationships.</w:t>
      </w:r>
    </w:p>
    <w:bookmarkStart w:id="9" w:name="X813d914a5c3766fc1e814344b1cb0e61a2b7b95"/>
    <w:p>
      <w:pPr>
        <w:pStyle w:val="Heading3"/>
      </w:pPr>
      <w:r>
        <w:t xml:space="preserve">1.0.1 Structural scale and the organisation of energy flow</w:t>
      </w:r>
    </w:p>
    <w:p>
      <w:pPr>
        <w:pStyle w:val="FirstParagraph"/>
      </w:pPr>
      <w:r>
        <w:t xml:space="preserve">We conceptualise food-web structure as organised across four hierarchical structural scales: node-level, path-level, network geometry, and emergent system behaviour (Pimm 1982; Cohen et al. 1990; Vermaat et al. 2009). These scales reflect increasing levels of integration, progressing from individual species roles to whole-network dynamics.</w:t>
      </w:r>
    </w:p>
    <w:p>
      <w:pPr>
        <w:pStyle w:val="BodyText"/>
      </w:pPr>
      <w:r>
        <w:rPr>
          <w:b/>
          <w:bCs/>
        </w:rPr>
        <w:t xml:space="preserve">Node-level structure:</w:t>
      </w:r>
      <w:r>
        <w:t xml:space="preserve"> </w:t>
      </w:r>
      <w:r>
        <w:t xml:space="preserve">describes the properties and roles of individual species within the network. Metrics such as trophic position, basal and top species proportions, centrality, and trophic similarity capture how energy enters the system, which species process or redistribute that energy, and the degree of functional redundancy among taxa (Yodzis &amp; Winemiller 1999; Estrada 2007; Allesina &amp; Pascual 2009). At this scale, structure primarily reflects who participates in energy transfer and whether alternative species can compensate for local losses, a long-standing mechanism proposed to underpin persistence in complex ecosystems (McCann 2000).</w:t>
      </w:r>
    </w:p>
    <w:p>
      <w:pPr>
        <w:pStyle w:val="BodyText"/>
      </w:pPr>
      <w:r>
        <w:rPr>
          <w:b/>
          <w:bCs/>
        </w:rPr>
        <w:t xml:space="preserve">Path-level structure</w:t>
      </w:r>
      <w:r>
        <w:t xml:space="preserve">: describes how energy is routed through sequences of interactions linking species. Metrics such as food chain length, omnivory, motifs, loops, and prey–predator ratios capture the coupling of energy channels and the multiplicity of pathways connecting basal resources to higher trophic levels (Pimm &amp; Lawton 1977; McCann et al. 1998; Stouffer &amp; Bascompte 2011). This scale reflects how energy moves through the network and how perturbations may be transmitted across species, with particular pathway configurations either amplifying or diffusing disturbance effects (Neutel et al. 2002; Rooney et al. 2006).</w:t>
      </w:r>
    </w:p>
    <w:p>
      <w:pPr>
        <w:pStyle w:val="BodyText"/>
      </w:pPr>
      <w:r>
        <w:rPr>
          <w:b/>
          <w:bCs/>
        </w:rPr>
        <w:t xml:space="preserve">Network geometry</w:t>
      </w:r>
      <w:r>
        <w:t xml:space="preserve">: captures the global arrangement and constraints of interactions, including link density, connectance, clustering, modularity, intervality, and network distances (Dunne et al. 2002; Stouffer et al. 2006; Delmas et al. 2019). These properties define the overall “shape” of the food web and constrain which pathways are available for energy flow. Geometric organisation has been shown to influence the containment of perturbations, for example through compartmentalisation that limits the spread of local disturbances</w:t>
      </w:r>
      <w:r>
        <w:t xml:space="preserve"> </w:t>
      </w:r>
      <w:r>
        <w:t xml:space="preserve">[1]</w:t>
      </w:r>
      <w:r>
        <w:t xml:space="preserve">.</w:t>
      </w:r>
    </w:p>
    <w:p>
      <w:pPr>
        <w:pStyle w:val="BodyText"/>
      </w:pPr>
      <w:r>
        <w:rPr>
          <w:b/>
          <w:bCs/>
        </w:rPr>
        <w:t xml:space="preserve">Emergent system-level behaviour</w:t>
      </w:r>
      <w:r>
        <w:t xml:space="preserve">: reflects the collective dynamical properties that arise from the interaction of nodes, paths, and geometry. Metrics such as spectral radius, SVD complexity, and robustness capture properties that cannot be attributed to individual species or interactions alone, but instead describe the system’s overall capacity to absorb, reorganise, or amplify perturbations (May 1972; Staniczenko et al. 2013; Strydom et al. 2021).</w:t>
      </w:r>
    </w:p>
    <w:p>
      <w:pPr>
        <w:pStyle w:val="BodyText"/>
      </w:pPr>
      <w:r>
        <w:t xml:space="preserve">Together, these structural scales form a causal hierarchy: species roles give rise to interaction pathways, which are embedded within a global network geometry, from which emergent dynamical behaviour arises.</w:t>
      </w:r>
    </w:p>
    <w:bookmarkEnd w:id="9"/>
    <w:bookmarkStart w:id="10" w:name="stability-as-a-multi-component-property"/>
    <w:p>
      <w:pPr>
        <w:pStyle w:val="Heading3"/>
      </w:pPr>
      <w:r>
        <w:t xml:space="preserve">1.0.2 Stability as a multi-component property</w:t>
      </w:r>
    </w:p>
    <w:p>
      <w:pPr>
        <w:pStyle w:val="FirstParagraph"/>
      </w:pPr>
      <w:r>
        <w:t xml:space="preserve">Stability is often treated as a single outcome, yet ecological theory has long recognised that it comprises multiple, distinct components (Pimm 1984; Ives &amp; Carpenter 2007). Here, we focus on three complementary stability mechanisms that are directly interpretable in terms of energy flow: persistence, resistance, and return.</w:t>
      </w:r>
    </w:p>
    <w:p>
      <w:pPr>
        <w:pStyle w:val="BodyText"/>
      </w:pPr>
      <w:r>
        <w:rPr>
          <w:b/>
          <w:bCs/>
        </w:rPr>
        <w:t xml:space="preserve">Persistence</w:t>
      </w:r>
      <w:r>
        <w:t xml:space="preserve">: refers to the continued ability of the system to sustain energy flow following species loss or disturbance. Structures that promote redundancy, multiple basal inputs, and functional overlap among species enhance persistence by ensuring that energy can continue to enter and circulate within the network even when individual components are removed (McCann 2000; Dunne et al. 2002; Jonsson et al. 2015).</w:t>
      </w:r>
    </w:p>
    <w:p>
      <w:pPr>
        <w:pStyle w:val="BodyText"/>
      </w:pPr>
      <w:r>
        <w:rPr>
          <w:b/>
          <w:bCs/>
        </w:rPr>
        <w:t xml:space="preserve">Resistance</w:t>
      </w:r>
      <w:r>
        <w:t xml:space="preserve">: describes the extent to which perturbations are attenuated or contained rather than propagating through the network. Path-level structures such as omnivory, short chains, motifs, and modular organisation can diffuse or localise disturbances, reducing the likelihood that local perturbations escalate into system-wide effects (McCann et al. 1998; Neutel et al. 2002; Stouffer &amp; Bascompte 2011).</w:t>
      </w:r>
    </w:p>
    <w:p>
      <w:pPr>
        <w:pStyle w:val="BodyText"/>
      </w:pPr>
      <w:r>
        <w:rPr>
          <w:b/>
          <w:bCs/>
        </w:rPr>
        <w:t xml:space="preserve">Return</w:t>
      </w:r>
      <w:r>
        <w:t xml:space="preserve">: captures the capacity of the system to reorganise or recover following disturbance, including the re-establishment of interaction pathways and the damping of oscillations. Emergent properties linked to global organisation and heterogeneity, such as spectral radius and structural complexity, reflect constraints on system-wide dynamics and influence the speed and manner with which a system returns to equilibrium or a new stable configuration (May 1972; Ulanowicz 2001; Staniczenko et al. 2013).</w:t>
      </w:r>
    </w:p>
    <w:p>
      <w:pPr>
        <w:pStyle w:val="BodyText"/>
      </w:pPr>
      <w:r>
        <w:t xml:space="preserve">Crucially, these stability components operate at different structural scales and are not expected to respond uniformly to the same network properties.</w:t>
      </w:r>
    </w:p>
    <w:bookmarkEnd w:id="10"/>
    <w:bookmarkStart w:id="11" w:name="Xc5292aded3c9c49e9dc492f6d067058745f1a25"/>
    <w:p>
      <w:pPr>
        <w:pStyle w:val="Heading3"/>
      </w:pPr>
      <w:r>
        <w:t xml:space="preserve">1.0.3 Implications for interpreting network metrics</w:t>
      </w:r>
    </w:p>
    <w:p>
      <w:pPr>
        <w:pStyle w:val="FirstParagraph"/>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[2]</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 (Allesina &amp; Tang 2012).</w:t>
      </w:r>
    </w:p>
    <w:p>
      <w:pPr>
        <w:pStyle w:val="BodyText"/>
      </w:pPr>
      <w:r>
        <w:t xml:space="preserve">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[3]</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TableCaption"/>
      </w:pPr>
      <w:r>
        <w:t xml:space="preserve">Words</w:t>
      </w:r>
    </w:p>
    <w:tbl>
      <w:tblPr>
        <w:tblStyle w:val="Table"/>
        <w:tblW w:type="pct" w:w="5000"/>
        <w:tblLayout w:type="fixed"/>
        <w:tblLook w:firstRow="1" w:lastRow="0" w:firstColumn="0" w:lastColumn="0" w:noHBand="0" w:noVBand="0" w:val="0020"/>
        <w:tblCaption w:val="Words"/>
      </w:tblPr>
      <w:tblGrid>
        <w:gridCol w:w="1980"/>
        <w:gridCol w:w="1980"/>
        <w:gridCol w:w="1980"/>
        <w:gridCol w:w="1980"/>
      </w:tblGrid>
      <w:tr>
        <w:trPr>
          <w:tblHeader w:val="on"/>
        </w:trPr>
        <w:tc>
          <w:tcPr/>
          <w:p>
            <w:pPr>
              <w:pStyle w:val="Compact"/>
            </w:pPr>
            <w:r>
              <w:t xml:space="preserve">Structural scale</w:t>
            </w:r>
          </w:p>
        </w:tc>
        <w:tc>
          <w:tcPr/>
          <w:p>
            <w:pPr>
              <w:pStyle w:val="Compact"/>
            </w:pPr>
            <w:r>
              <w:t xml:space="preserve">What it encodes</w:t>
            </w:r>
          </w:p>
        </w:tc>
        <w:tc>
          <w:tcPr/>
          <w:p>
            <w:pPr>
              <w:pStyle w:val="Compact"/>
            </w:pPr>
            <w:r>
              <w:t xml:space="preserve">Energy-flow interpretation</w:t>
            </w:r>
          </w:p>
        </w:tc>
        <w:tc>
          <w:tcPr/>
          <w:p>
            <w:pPr>
              <w:pStyle w:val="Compact"/>
            </w:pPr>
            <w:r>
              <w:t xml:space="preserve">Stability component</w:t>
            </w:r>
          </w:p>
        </w:tc>
      </w:tr>
      <w:tr>
        <w:tc>
          <w:tcPr/>
          <w:p>
            <w:pPr>
              <w:pStyle w:val="Compact"/>
            </w:pPr>
            <w:r>
              <w:t xml:space="preserve">Node</w:t>
            </w:r>
          </w:p>
        </w:tc>
        <w:tc>
          <w:tcPr/>
          <w:p>
            <w:pPr>
              <w:pStyle w:val="Compact"/>
            </w:pPr>
            <w:r>
              <w:t xml:space="preserve">Species roles and redundancy</w:t>
            </w:r>
          </w:p>
        </w:tc>
        <w:tc>
          <w:tcPr/>
          <w:p>
            <w:pPr>
              <w:pStyle w:val="Compact"/>
            </w:pPr>
            <w:r>
              <w:t xml:space="preserve">Who handles energy</w:t>
            </w:r>
          </w:p>
        </w:tc>
        <w:tc>
          <w:tcPr/>
          <w:p>
            <w:pPr>
              <w:pStyle w:val="Compact"/>
            </w:pPr>
            <w:r>
              <w:t xml:space="preserve">Persistence (can energy still enter and move?)</w:t>
            </w:r>
          </w:p>
        </w:tc>
      </w:tr>
      <w:tr>
        <w:tc>
          <w:tcPr/>
          <w:p>
            <w:pPr>
              <w:pStyle w:val="Compact"/>
            </w:pPr>
            <w:r>
              <w:t xml:space="preserve">Path</w:t>
            </w:r>
          </w:p>
        </w:tc>
        <w:tc>
          <w:tcPr/>
          <w:p>
            <w:pPr>
              <w:pStyle w:val="Compact"/>
            </w:pPr>
            <w:r>
              <w:t xml:space="preserve">Energy routing and coupling</w:t>
            </w:r>
          </w:p>
        </w:tc>
        <w:tc>
          <w:tcPr/>
          <w:p>
            <w:pPr>
              <w:pStyle w:val="Compact"/>
            </w:pPr>
            <w:r>
              <w:t xml:space="preserve">How energy moves</w:t>
            </w:r>
          </w:p>
        </w:tc>
        <w:tc>
          <w:tcPr/>
          <w:p>
            <w:pPr>
              <w:pStyle w:val="Compact"/>
            </w:pPr>
            <w:r>
              <w:t xml:space="preserve">Resistance (does disturbance spread?)</w:t>
            </w:r>
          </w:p>
        </w:tc>
      </w:tr>
      <w:tr>
        <w:tc>
          <w:tcPr/>
          <w:p>
            <w:pPr>
              <w:pStyle w:val="Compact"/>
            </w:pPr>
            <w:r>
              <w:t xml:space="preserve">Geometry</w:t>
            </w:r>
          </w:p>
        </w:tc>
        <w:tc>
          <w:tcPr/>
          <w:p>
            <w:pPr>
              <w:pStyle w:val="Compact"/>
            </w:pPr>
            <w:r>
              <w:t xml:space="preserve">Network constraints and organisation</w:t>
            </w:r>
          </w:p>
        </w:tc>
        <w:tc>
          <w:tcPr/>
          <w:p>
            <w:pPr>
              <w:pStyle w:val="Compact"/>
            </w:pPr>
            <w:r>
              <w:t xml:space="preserve">Where energy can go</w:t>
            </w:r>
          </w:p>
        </w:tc>
        <w:tc>
          <w:tcPr/>
          <w:p>
            <w:pPr>
              <w:pStyle w:val="Compact"/>
            </w:pPr>
            <w:r>
              <w:t xml:space="preserve">Containment / buffering</w:t>
            </w:r>
          </w:p>
        </w:tc>
      </w:tr>
      <w:tr>
        <w:tc>
          <w:tcPr/>
          <w:p>
            <w:pPr>
              <w:pStyle w:val="Compact"/>
            </w:pPr>
            <w:r>
              <w:t xml:space="preserve">Behaviour</w:t>
            </w:r>
          </w:p>
        </w:tc>
        <w:tc>
          <w:tcPr/>
          <w:p>
            <w:pPr>
              <w:pStyle w:val="Compact"/>
            </w:pPr>
            <w:r>
              <w:t xml:space="preserve">Emergent dynamics</w:t>
            </w:r>
          </w:p>
        </w:tc>
        <w:tc>
          <w:tcPr/>
          <w:p>
            <w:pPr>
              <w:pStyle w:val="Compact"/>
            </w:pPr>
            <w:r>
              <w:t xml:space="preserve">How energy reorganizes</w:t>
            </w:r>
          </w:p>
        </w:tc>
        <w:tc>
          <w:tcPr/>
          <w:p>
            <w:pPr>
              <w:pStyle w:val="Compact"/>
            </w:pPr>
            <w:r>
              <w:t xml:space="preserve">Return / reassembly</w:t>
            </w:r>
          </w:p>
        </w:tc>
      </w:tr>
    </w:tbl>
    <w:bookmarkEnd w:id="11"/>
    <w:bookmarkEnd w:id="12"/>
    <w:bookmarkStart w:id="23" w:name="materials-methods"/>
    <w:p>
      <w:pPr>
        <w:pStyle w:val="Heading1"/>
      </w:pPr>
      <w:r>
        <w:t xml:space="preserve">2. Materials &amp; Methods</w:t>
      </w:r>
    </w:p>
    <w:bookmarkStart w:id="14"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characterized using a suite of XX structural metrics</w:t>
      </w:r>
      <w:r>
        <w:t xml:space="preserve"> </w:t>
      </w:r>
      <w:hyperlink w:anchor="tbl-properties">
        <w:r>
          <w:rPr>
            <w:rStyle w:val="Hyperlink"/>
          </w:rPr>
          <w:t xml:space="preserve">Table 1</w:t>
        </w:r>
      </w:hyperlink>
      <w:r>
        <w:t xml:space="preserve">, including classic descriptors such as richness, connectance, and modularity, as well as information-theoretic measures like spectral radius and SVD complexity.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13"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[4]</w:t>
            </w:r>
            <w:r>
              <w:t xml:space="preserve"> </w:t>
            </w:r>
            <w:r>
              <w:t xml:space="preserve">paper as well as including those that have been identified by</w:t>
            </w:r>
            <w:r>
              <w:t xml:space="preserve"> </w:t>
            </w:r>
            <w:r>
              <w:t xml:space="preserve">[2]</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819"/>
              <w:gridCol w:w="1819"/>
              <w:gridCol w:w="2461"/>
              <w:gridCol w:w="1819"/>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[5]</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[6]</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[7]</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[8]</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[9]</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[5]</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[5]</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[10]</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[11]</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[12]</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[13]</w:t>
                  </w:r>
                  <w:r>
                    <w:t xml:space="preserve"> </w:t>
                  </w:r>
                  <w:r>
                    <w:t xml:space="preserve">[14]</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[13]</w:t>
                  </w:r>
                  <w:r>
                    <w:t xml:space="preserve"> </w:t>
                  </w:r>
                  <w:r>
                    <w:t xml:space="preserve">[14]</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[13]</w:t>
                  </w:r>
                  <w:r>
                    <w:t xml:space="preserve"> </w:t>
                  </w:r>
                  <w:r>
                    <w:t xml:space="preserve">[14]</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[13]</w:t>
                  </w:r>
                  <w:r>
                    <w:t xml:space="preserve"> </w:t>
                  </w:r>
                  <w:r>
                    <w:t xml:space="preserve">[14]</w:t>
                  </w:r>
                </w:p>
              </w:tc>
            </w:tr>
          </w:tbl>
          <w:bookmarkEnd w:id="13"/>
          <w:p/>
        </w:tc>
      </w:tr>
    </w:tbl>
    <w:bookmarkEnd w:id="14"/>
    <w:bookmarkStart w:id="15"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w:t>
      </w:r>
      <w:r>
        <w:t xml:space="preserve"> </w:t>
      </w:r>
      <w:r>
        <w:t xml:space="preserve">If such modular organization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30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(k = 2–10)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5"/>
    <w:bookmarkStart w:id="16"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organize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standardized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 principal component</w:t>
      </w:r>
      <w:r>
        <w:t xml:space="preserve"> </w:t>
      </w:r>
      <m:oMath>
        <m:r>
          <m:t>k</m:t>
        </m:r>
      </m:oMath>
      <w:r>
        <w:t xml:space="preserve"> </w:t>
      </w:r>
      <w:r>
        <w:t xml:space="preserve">and</w:t>
      </w:r>
      <w:r>
        <w:t xml:space="preserve"> </w:t>
      </w:r>
      <m:oMath>
        <m:sSub>
          <m:e>
            <m:r>
              <m:t>A</m:t>
            </m:r>
          </m:e>
          <m:sub>
            <m:r>
              <m:t>m</m:t>
            </m:r>
            <m:r>
              <m:t>k</m:t>
            </m:r>
          </m:sub>
        </m:sSub>
      </m:oMath>
      <w:r>
        <w:t xml:space="preserve"> </w:t>
      </w:r>
      <w:r>
        <w:t xml:space="preserve">represents the fraction of variance in PC</w:t>
      </w:r>
      <w:r>
        <w:t xml:space="preserve"> </w:t>
      </w:r>
      <m:oMath>
        <m:r>
          <m:t>k</m:t>
        </m:r>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6"/>
    <w:bookmarkStart w:id="22" w:name="Xa1e356f8b4615d913aa8dbeb1055359363a4932"/>
    <w:p>
      <w:pPr>
        <w:pStyle w:val="Heading2"/>
      </w:pPr>
      <w:r>
        <w:t xml:space="preserve">2.4 Structural Metric Reduction and Representation of Network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7" w:name="identification-of-structural-domains"/>
    <w:p>
      <w:pPr>
        <w:pStyle w:val="Heading3"/>
      </w:pPr>
      <w:r>
        <w:t xml:space="preserve">2.4.1 Identification of Structural Domains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centralization, path structure). Clustering was performed using correlation-based distance, ensuring that metrics grouped together reflected shared structural information rather than raw scale. To construct a reduced predictor set from these domains, we selected a single representative metric per cluster using a medoid approach. Within each cluster, we computed the absolute correlation matrix among member metrics and defined distance as 1−∣r∣. The medoid was identified as the metric minimizing mean pairwise distance to other metrics in the cluster. This approach preserves structural diversity while minimizing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domain. Importantly, this procedure prioritizes preservation of structural domains rather than overall variance magnitude, allowing low-variance but potentially mechanistically relevant features of network topology to be retained.</w:t>
      </w:r>
    </w:p>
    <w:bookmarkEnd w:id="17"/>
    <w:bookmarkStart w:id="18" w:name="extraction-of-latent-structural-axes"/>
    <w:p>
      <w:pPr>
        <w:pStyle w:val="Heading3"/>
      </w:pPr>
      <w:r>
        <w:t xml:space="preserve">2.4.2 Extraction of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 and was treated as exploratory rather than primary.</w:t>
      </w:r>
    </w:p>
    <w:bookmarkEnd w:id="18"/>
    <w:bookmarkStart w:id="19" w:name="X47f4bec2ddbd171f48a908c5c67281cf5f30368"/>
    <w:p>
      <w:pPr>
        <w:pStyle w:val="Heading3"/>
      </w:pPr>
      <w:r>
        <w:t xml:space="preserve">2.4.3 Conceptual Contrast Between Representations</w:t>
      </w:r>
    </w:p>
    <w:p>
      <w:pPr>
        <w:pStyle w:val="FirstParagraph"/>
      </w:pPr>
      <w:r>
        <w:t xml:space="preserve">The cluster-medoid and PCA-score representations reflect different theoretical assumptions about how structure relates to stability.</w:t>
      </w:r>
      <w:r>
        <w:t xml:space="preserve"> </w:t>
      </w:r>
      <w:r>
        <w:t xml:space="preserve">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organization.</w:t>
      </w:r>
    </w:p>
    <w:bookmarkEnd w:id="19"/>
    <w:bookmarkStart w:id="21" w:name="structural-control-of-stability"/>
    <w:p>
      <w:pPr>
        <w:pStyle w:val="Heading3"/>
      </w:pPr>
      <w:r>
        <w:t xml:space="preserve">2.4.4 Structural Control of Stability</w:t>
      </w:r>
    </w:p>
    <w:p>
      <w:pPr>
        <w:pStyle w:val="FirstParagraph"/>
      </w:pPr>
      <w:r>
        <w:t xml:space="preserve">To evaluate how different hierarchical representations of network structure explain variation in stability, we implemented a regularized linear modelling framework designed to balance interpretability and overfitting risk given the modest sample size (n = 38). For each stability component (complexity, robustness, and ρ), we fit elastic net regression models using three distinct structural representations: Fine-scale cluster-level topological descriptors, Dominant structural summaries (PC_Dominant), and Multivariate principal component scores (PC_Scores). All predictors and response variables were standardized prior to analysis to allow direct comparison of coefficient magnitudes.</w:t>
      </w:r>
    </w:p>
    <w:p>
      <w:pPr>
        <w:pStyle w:val="BodyText"/>
      </w:pPr>
      <w:r>
        <w:t xml:space="preserve">Elastic net regularization was chosen because it permits inference under correlated predictors by interpolating between ridge (distributed shrinkage) and lasso (sparse selection) penalties. The mixing parameter α (0–1) determines the degree of sparsity, with lower values indicating distributed structural influence and higher values indicating concentration onto a smaller subset of predictors.</w:t>
      </w:r>
    </w:p>
    <w:bookmarkStart w:id="20" w:name="model-evaluation"/>
    <w:p>
      <w:pPr>
        <w:pStyle w:val="Heading4"/>
      </w:pPr>
      <w:r>
        <w:t xml:space="preserve">2.4.4.1 Model Evaluation</w:t>
      </w:r>
    </w:p>
    <w:p>
      <w:pPr>
        <w:pStyle w:val="FirstParagraph"/>
      </w:pPr>
      <w:r>
        <w:t xml:space="preserve">Predictive performance was assessed using repeated v-fold cross-validation (5 folds × 20 repeats). Within each training partition, models were fit across a grid of α values (0–1 in increments of 0.25), and the optimal penalty strength (λ) was selected via internal cross-validation. Performance was quantified as cross-validated R^2 computed on held-out test partitions. After cross-validation, final models were refit to the full dataset using the mean selected α, and standardized coefficients were extracted to characterize the direction and magnitude of structural effects. This approach was not intended to maximize predictive accuracy per se, but rather to quantify the relative degree and architecture of structural control across stability facets.</w:t>
      </w:r>
    </w:p>
    <w:bookmarkEnd w:id="20"/>
    <w:bookmarkEnd w:id="21"/>
    <w:bookmarkEnd w:id="22"/>
    <w:bookmarkEnd w:id="23"/>
    <w:bookmarkStart w:id="62" w:name="results"/>
    <w:p>
      <w:pPr>
        <w:pStyle w:val="Heading1"/>
      </w:pPr>
      <w:r>
        <w:t xml:space="preserve">3. Results</w:t>
      </w:r>
    </w:p>
    <w:bookmarkStart w:id="28"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7" w:name="fig-cluster"/>
          <w:p>
            <w:pPr>
              <w:pStyle w:val="Compact"/>
              <w:jc w:val="center"/>
            </w:pPr>
            <w:r>
              <w:drawing>
                <wp:inline>
                  <wp:extent cx="5334000" cy="2667000"/>
                  <wp:effectExtent b="0" l="0" r="0" t="0"/>
                  <wp:docPr descr="" title="" id="25" name="Picture"/>
                  <a:graphic>
                    <a:graphicData uri="http://schemas.openxmlformats.org/drawingml/2006/picture">
                      <pic:pic>
                        <pic:nvPicPr>
                          <pic:cNvPr descr="figures/cluster_dendrogram.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Blah blah blah clusters</w:t>
            </w:r>
          </w:p>
          <w:bookmarkEnd w:id="27"/>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 These included a large-scale architectural module integrating size and motif-based descriptors, modules capturing trophic organisation and energy routing, and two modules consisting of isolated structural descriptors that function independently from broader metric groupings. Importantly, the modular structure persisted after accounting for species richness, demonstrating that clustering was not driven solely by network size effects.</w:t>
      </w:r>
    </w:p>
    <w:bookmarkEnd w:id="28"/>
    <w:bookmarkStart w:id="30" w:name="Xf87f5051eb915ff1151c6c5eeec0927d46b580d"/>
    <w:p>
      <w:pPr>
        <w:pStyle w:val="Heading2"/>
      </w:pPr>
      <w:r>
        <w:t xml:space="preserve">3.2 Modular Decomposition of Structural Space</w:t>
      </w:r>
    </w:p>
    <w:p>
      <w:pPr>
        <w:pStyle w:val="FirstParagraph"/>
      </w:pPr>
      <w:r>
        <w:t xml:space="preserve">The seven-module solution revealed a hierarchical decomposition of structural space into interpretable architectural dimensions. Collectively, the module decomposition reveals that food web structure can be interpreted as statistically supported and ecologically interpretable dimensions of network organisation that is strongly suggestive of a delineation by hierarchical architecture.</w:t>
      </w:r>
    </w:p>
    <w:p>
      <w:pPr>
        <w:pStyle w:val="BodyText"/>
      </w:pPr>
      <w:r>
        <w:rPr>
          <w:b/>
          <w:bCs/>
        </w:rPr>
        <w:t xml:space="preserve">Macro-Architectural Complexity:</w:t>
      </w:r>
      <w:r>
        <w:t xml:space="preserve"> </w:t>
      </w:r>
      <w:r>
        <w:t xml:space="preserve">The largest module encompassed species richness, number of interactions, diameter, motif frequencies, intervality, and related descriptors. These metrics jointly describe large-scale expansion of the interaction network and increased combinatorial complexity as species richness increases. This module reflects macro-architectural scaling: increasing network size simultaneously expands motif diversity, path structure, and global trophic ordering.</w:t>
      </w:r>
    </w:p>
    <w:p>
      <w:pPr>
        <w:pStyle w:val="BodyText"/>
      </w:pPr>
      <w:r>
        <w:rPr>
          <w:b/>
          <w:bCs/>
        </w:rPr>
        <w:t xml:space="preserve">Trophic Integration:</w:t>
      </w:r>
      <w:r>
        <w:t xml:space="preserve"> </w:t>
      </w:r>
      <w:r>
        <w:t xml:space="preserve">A second module grouped metrics describing vertical trophic organisation and connectivity, including connectance, trophic level, omnivory, chain length, and clustering. Together, these descriptors quantify how densely and hierarchically energy and interactions are embedded across trophic strata. This module captures the degree to which the network integrates trophic levels through cross-level interactions and structural embedding.</w:t>
      </w:r>
    </w:p>
    <w:p>
      <w:pPr>
        <w:pStyle w:val="BodyText"/>
      </w:pPr>
      <w:r>
        <w:rPr>
          <w:b/>
          <w:bCs/>
        </w:rPr>
        <w:t xml:space="preserve">Energy Transport:</w:t>
      </w:r>
      <w:r>
        <w:t xml:space="preserve"> </w:t>
      </w:r>
      <w:r>
        <w:t xml:space="preserve">A distinct module isolated geometric descriptors of interaction pathways, including mean distance, path number, and dispersion in chain length. These metrics characterize the structural geometry of energy routing independent of overall network size. The separation of this module suggests that routing structure constitutes an independent dimension of architectural variation rather than merely scaling with complexity.</w:t>
      </w:r>
    </w:p>
    <w:p>
      <w:pPr>
        <w:pStyle w:val="BodyText"/>
      </w:pPr>
      <w:r>
        <w:rPr>
          <w:b/>
          <w:bCs/>
        </w:rPr>
        <w:t xml:space="preserve">Trophic Asymmetry:</w:t>
      </w:r>
      <w:r>
        <w:t xml:space="preserve"> </w:t>
      </w:r>
      <w:r>
        <w:t xml:space="preserve">Another module captured metrics describing structural imbalance between basal and consumer components, including the proportion of basal species, predator–prey ratios, and generality measures. This module reflects bottom-heavy versus top-heavy structural skew and quantifies asymmetry in the distribution of trophic roles across the network.</w:t>
      </w:r>
    </w:p>
    <w:p>
      <w:pPr>
        <w:pStyle w:val="BodyText"/>
      </w:pPr>
      <w:r>
        <w:rPr>
          <w:b/>
          <w:bCs/>
        </w:rPr>
        <w:t xml:space="preserve">Control Heterogeneity:</w:t>
      </w:r>
      <w:r>
        <w:t xml:space="preserve"> </w:t>
      </w:r>
      <w:r>
        <w:t xml:space="preserve">A separate module grouped descriptors of heterogeneity in consumer pressure and top-down control, including the proportion of apex species, herbivory structure, and variance in vulnerability. This module captures variation in how evenly or unevenly control is distributed across trophic levels.</w:t>
      </w:r>
    </w:p>
    <w:p>
      <w:pPr>
        <w:pStyle w:val="BodyText"/>
      </w:pPr>
      <w:r>
        <w:rPr>
          <w:b/>
          <w:bCs/>
        </w:rPr>
        <w:t xml:space="preserve">Centralisation and Functional Redundancy:</w:t>
      </w:r>
      <w:r>
        <w:t xml:space="preserve"> </w:t>
      </w:r>
      <w:r>
        <w:t xml:space="preserve">Two metrics formed independent modules. Centrality emerged as a standalone module, representing concentration of structural dominance within a subset of species. Maximum trophic similarity likewise formed an isolated module, quantifying functional redundancy and niche overlap. The separation of these descriptors from broader structural groupings indicates that dominance concentration and trophic redundancy represent independent axes of food-web organisation.</w:t>
      </w:r>
    </w:p>
    <w:p>
      <w:pPr>
        <w:pStyle w:val="BodyText"/>
      </w:pPr>
      <w:r>
        <w:t xml:space="preserve">Collectively, these seven modules delineate a hierarchical decomposition of food-web structure spanning macro-scale complexity, vertical integration, routing geometry, trophic imbalance, control heterogeneity, dominance concentration, and functional overlap.</w:t>
      </w:r>
    </w:p>
    <w:tbl>
      <w:tblPr>
        <w:tblStyle w:val="Table"/>
        <w:tblW w:type="pct" w:w="5000"/>
        <w:tblLayout w:type="fixed"/>
        <w:tblLook w:firstRow="0" w:lastRow="0" w:firstColumn="0" w:lastColumn="0" w:noHBand="0" w:noVBand="0" w:val="0000"/>
      </w:tblPr>
      <w:tblGrid>
        <w:gridCol w:w="7920"/>
      </w:tblGrid>
      <w:tr>
        <w:tc>
          <w:tcPr/>
          <w:bookmarkStart w:id="29"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1083"/>
              <w:gridCol w:w="1333"/>
              <w:gridCol w:w="2167"/>
              <w:gridCol w:w="2334"/>
              <w:gridCol w:w="100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c>
                <w:tcPr/>
                <w:p>
                  <w:pPr>
                    <w:pStyle w:val="Compact"/>
                    <w:jc w:val="center"/>
                  </w:pPr>
                  <w:r>
                    <w:t xml:space="preserve">Robustness (Silhouette / AU)</w:t>
                  </w:r>
                </w:p>
              </w:tc>
              <w:tc>
                <w:tcPr/>
                <w:p>
                  <w:pPr>
                    <w:pStyle w:val="Compact"/>
                    <w:jc w:val="center"/>
                  </w:pPr>
                  <w:r>
                    <w:t xml:space="preserve">Module Size</w:t>
                  </w:r>
                </w:p>
              </w:tc>
            </w:tr>
            <w:tr>
              <w:tc>
                <w:tcPr/>
                <w:p>
                  <w:pPr>
                    <w:pStyle w:val="Compact"/>
                    <w:jc w:val="center"/>
                  </w:pPr>
                  <w:r>
                    <w:t xml:space="preserve">Macro-Architectural Complexity</w:t>
                  </w:r>
                </w:p>
              </w:tc>
              <w:tc>
                <w:tcPr/>
                <w:p>
                  <w:pPr>
                    <w:pStyle w:val="Compact"/>
                    <w:jc w:val="center"/>
                  </w:pPr>
                  <w:r>
                    <w:t xml:space="preserve">richness, links, diameter, motif frequencies, intervality, path-related metrics</w:t>
                  </w:r>
                </w:p>
              </w:tc>
              <w:tc>
                <w:tcPr/>
                <w:p>
                  <w:pPr>
                    <w:pStyle w:val="Compact"/>
                    <w:jc w:val="center"/>
                  </w:pPr>
                  <w:r>
                    <w:t xml:space="preserve">Captures large-scale expansion of network structure and combinatorial complexity associated with increasing system size</w:t>
                  </w:r>
                </w:p>
              </w:tc>
              <w:tc>
                <w:tcPr/>
                <w:p>
                  <w:pPr>
                    <w:pStyle w:val="Compact"/>
                  </w:pPr>
                </w:p>
              </w:tc>
              <w:tc>
                <w:tcPr/>
                <w:p>
                  <w:pPr>
                    <w:pStyle w:val="Compact"/>
                  </w:pPr>
                </w:p>
              </w:tc>
            </w:tr>
            <w:tr>
              <w:tc>
                <w:tcPr/>
                <w:p>
                  <w:pPr>
                    <w:pStyle w:val="Compact"/>
                    <w:jc w:val="center"/>
                  </w:pPr>
                  <w:r>
                    <w:t xml:space="preserve">Trophic Integration</w:t>
                  </w:r>
                </w:p>
              </w:tc>
              <w:tc>
                <w:tcPr/>
                <w:p>
                  <w:pPr>
                    <w:pStyle w:val="Compact"/>
                    <w:jc w:val="center"/>
                  </w:pPr>
                  <w:r>
                    <w:t xml:space="preserve">connectance, trophic level, omnivory, chain length, clustering</w:t>
                  </w:r>
                </w:p>
              </w:tc>
              <w:tc>
                <w:tcPr/>
                <w:p>
                  <w:pPr>
                    <w:pStyle w:val="Compact"/>
                    <w:jc w:val="center"/>
                  </w:pPr>
                  <w:r>
                    <w:t xml:space="preserve">Describes vertical trophic embedding and density of cross-level interactions</w:t>
                  </w:r>
                </w:p>
              </w:tc>
              <w:tc>
                <w:tcPr/>
                <w:p>
                  <w:pPr>
                    <w:pStyle w:val="Compact"/>
                  </w:pPr>
                </w:p>
              </w:tc>
              <w:tc>
                <w:tcPr/>
                <w:p>
                  <w:pPr>
                    <w:pStyle w:val="Compact"/>
                  </w:pPr>
                </w:p>
              </w:tc>
            </w:tr>
            <w:tr>
              <w:tc>
                <w:tcPr/>
                <w:p>
                  <w:pPr>
                    <w:pStyle w:val="Compact"/>
                    <w:jc w:val="center"/>
                  </w:pPr>
                  <w:r>
                    <w:t xml:space="preserve">Energy Transport</w:t>
                  </w:r>
                </w:p>
              </w:tc>
              <w:tc>
                <w:tcPr/>
                <w:p>
                  <w:pPr>
                    <w:pStyle w:val="Compact"/>
                    <w:jc w:val="center"/>
                  </w:pPr>
                  <w:r>
                    <w:t xml:space="preserve">mean distance, path number, chain-length dispersion</w:t>
                  </w:r>
                </w:p>
              </w:tc>
              <w:tc>
                <w:tcPr/>
                <w:p>
                  <w:pPr>
                    <w:pStyle w:val="Compact"/>
                    <w:jc w:val="center"/>
                  </w:pPr>
                  <w:r>
                    <w:t xml:space="preserve">Quantifies geometric structure of energy routing independent of size scaling</w:t>
                  </w:r>
                </w:p>
              </w:tc>
              <w:tc>
                <w:tcPr/>
                <w:p>
                  <w:pPr>
                    <w:pStyle w:val="Compact"/>
                  </w:pPr>
                </w:p>
              </w:tc>
              <w:tc>
                <w:tcPr/>
                <w:p>
                  <w:pPr>
                    <w:pStyle w:val="Compact"/>
                  </w:pPr>
                </w:p>
              </w:tc>
            </w:tr>
            <w:tr>
              <w:tc>
                <w:tcPr/>
                <w:p>
                  <w:pPr>
                    <w:pStyle w:val="Compact"/>
                    <w:jc w:val="center"/>
                  </w:pPr>
                  <w:r>
                    <w:t xml:space="preserve">Trophic Asymmetry</w:t>
                  </w:r>
                </w:p>
              </w:tc>
              <w:tc>
                <w:tcPr/>
                <w:p>
                  <w:pPr>
                    <w:pStyle w:val="Compact"/>
                    <w:jc w:val="center"/>
                  </w:pPr>
                  <w:r>
                    <w:t xml:space="preserve">basal proportion, predator–prey ratio, generality</w:t>
                  </w:r>
                </w:p>
              </w:tc>
              <w:tc>
                <w:tcPr/>
                <w:p>
                  <w:pPr>
                    <w:pStyle w:val="Compact"/>
                    <w:jc w:val="center"/>
                  </w:pPr>
                  <w:r>
                    <w:t xml:space="preserve">Represents structural skew between basal and consumer dominance; bottom-heavy vs top-heavy organization</w:t>
                  </w:r>
                </w:p>
              </w:tc>
              <w:tc>
                <w:tcPr/>
                <w:p>
                  <w:pPr>
                    <w:pStyle w:val="Compact"/>
                  </w:pPr>
                </w:p>
              </w:tc>
              <w:tc>
                <w:tcPr/>
                <w:p>
                  <w:pPr>
                    <w:pStyle w:val="Compact"/>
                  </w:pPr>
                </w:p>
              </w:tc>
            </w:tr>
            <w:tr>
              <w:tc>
                <w:tcPr/>
                <w:p>
                  <w:pPr>
                    <w:pStyle w:val="Compact"/>
                    <w:jc w:val="center"/>
                  </w:pPr>
                  <w:r>
                    <w:t xml:space="preserve">Control Heterogeneity</w:t>
                  </w:r>
                </w:p>
              </w:tc>
              <w:tc>
                <w:tcPr/>
                <w:p>
                  <w:pPr>
                    <w:pStyle w:val="Compact"/>
                    <w:jc w:val="center"/>
                  </w:pPr>
                  <w:r>
                    <w:t xml:space="preserve">apex proportion, herbivory, vulnerability variance</w:t>
                  </w:r>
                </w:p>
              </w:tc>
              <w:tc>
                <w:tcPr/>
                <w:p>
                  <w:pPr>
                    <w:pStyle w:val="Compact"/>
                    <w:jc w:val="center"/>
                  </w:pPr>
                  <w:r>
                    <w:t xml:space="preserve">Captures heterogeneity in top-down control and uneven distribution of interaction pressure</w:t>
                  </w:r>
                </w:p>
              </w:tc>
              <w:tc>
                <w:tcPr/>
                <w:p>
                  <w:pPr>
                    <w:pStyle w:val="Compact"/>
                  </w:pPr>
                </w:p>
              </w:tc>
              <w:tc>
                <w:tcPr/>
                <w:p>
                  <w:pPr>
                    <w:pStyle w:val="Compact"/>
                  </w:pPr>
                </w:p>
              </w:tc>
            </w:tr>
            <w:tr>
              <w:tc>
                <w:tcPr/>
                <w:p>
                  <w:pPr>
                    <w:pStyle w:val="Compact"/>
                    <w:jc w:val="center"/>
                  </w:pPr>
                  <w:r>
                    <w:t xml:space="preserve">Centralisation</w:t>
                  </w:r>
                </w:p>
              </w:tc>
              <w:tc>
                <w:tcPr/>
                <w:p>
                  <w:pPr>
                    <w:pStyle w:val="Compact"/>
                    <w:jc w:val="center"/>
                  </w:pPr>
                  <w:r>
                    <w:t xml:space="preserve">centrality</w:t>
                  </w:r>
                </w:p>
              </w:tc>
              <w:tc>
                <w:tcPr/>
                <w:p>
                  <w:pPr>
                    <w:pStyle w:val="Compact"/>
                    <w:jc w:val="center"/>
                  </w:pPr>
                  <w:r>
                    <w:t xml:space="preserve">Measures concentration of structural dominance within a subset of species</w:t>
                  </w:r>
                </w:p>
              </w:tc>
              <w:tc>
                <w:tcPr/>
                <w:p>
                  <w:pPr>
                    <w:pStyle w:val="Compact"/>
                  </w:pPr>
                </w:p>
              </w:tc>
              <w:tc>
                <w:tcPr/>
                <w:p>
                  <w:pPr>
                    <w:pStyle w:val="Compact"/>
                  </w:pPr>
                </w:p>
              </w:tc>
            </w:tr>
            <w:tr>
              <w:tc>
                <w:tcPr/>
                <w:p>
                  <w:pPr>
                    <w:pStyle w:val="Compact"/>
                    <w:jc w:val="center"/>
                  </w:pPr>
                  <w:r>
                    <w:t xml:space="preserve">Functional Redundancy</w:t>
                  </w:r>
                </w:p>
              </w:tc>
              <w:tc>
                <w:tcPr/>
                <w:p>
                  <w:pPr>
                    <w:pStyle w:val="Compact"/>
                    <w:jc w:val="center"/>
                  </w:pPr>
                  <w:r>
                    <w:t xml:space="preserve">maximum trophic similarity</w:t>
                  </w:r>
                </w:p>
              </w:tc>
              <w:tc>
                <w:tcPr/>
                <w:p>
                  <w:pPr>
                    <w:pStyle w:val="Compact"/>
                    <w:jc w:val="center"/>
                  </w:pPr>
                  <w:r>
                    <w:t xml:space="preserve">Quantifies trophic overlap and niche redundancy; independent axis of functional equivalence</w:t>
                  </w:r>
                </w:p>
              </w:tc>
              <w:tc>
                <w:tcPr/>
                <w:p>
                  <w:pPr>
                    <w:pStyle w:val="Compact"/>
                  </w:pPr>
                </w:p>
              </w:tc>
              <w:tc>
                <w:tcPr/>
                <w:p>
                  <w:pPr>
                    <w:pStyle w:val="Compact"/>
                  </w:pPr>
                </w:p>
              </w:tc>
            </w:tr>
          </w:tbl>
          <w:bookmarkEnd w:id="29"/>
          <w:p/>
        </w:tc>
      </w:tr>
    </w:tbl>
    <w:bookmarkEnd w:id="30"/>
    <w:bookmarkStart w:id="43" w:name="X88a5fb22cc012a2012a2ee06baac475b58bff9f"/>
    <w:p>
      <w:pPr>
        <w:pStyle w:val="Heading2"/>
      </w:pPr>
      <w:r>
        <w:t xml:space="preserve">3.3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69.1% of total variance (PC1 = 31.2%, PC2 = 22.4%, PC3 = 15.4%), with 80.8%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34" w:name="fig-pca"/>
          <w:p>
            <w:pPr>
              <w:pStyle w:val="Compact"/>
              <w:jc w:val="center"/>
            </w:pPr>
            <w:r>
              <w:drawing>
                <wp:inline>
                  <wp:extent cx="5334000" cy="3413760"/>
                  <wp:effectExtent b="0" l="0" r="0" t="0"/>
                  <wp:docPr descr="" title="" id="32" name="Picture"/>
                  <a:graphic>
                    <a:graphicData uri="http://schemas.openxmlformats.org/drawingml/2006/picture">
                      <pic:pic>
                        <pic:nvPicPr>
                          <pic:cNvPr descr="figures/pca_loadings.png" id="33" name="Picture"/>
                          <pic:cNvPicPr>
                            <a:picLocks noChangeArrowheads="1" noChangeAspect="1"/>
                          </pic:cNvPicPr>
                        </pic:nvPicPr>
                        <pic:blipFill>
                          <a:blip r:embed="rId3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Blah blah blah - colours represent clusters. Network metric loadings with PC1 and PC2</w:t>
            </w:r>
          </w:p>
          <w:bookmarkEnd w:id="34"/>
        </w:tc>
      </w:tr>
    </w:tbl>
    <w:p>
      <w:pPr>
        <w:pStyle w:val="BodyText"/>
      </w:pPr>
      <w:r>
        <w:t xml:space="preserve">Inspection of the loading structure showed that the first principal component primarily reflected variation in network size and connectivity. Metrics such as richness, number of links, diameter, path length, and measures associated with topological complexity loaded strongly on this axis. The second principal component captured variation associated with structural organization and connectivity patterns, whereas the third component reflected variation in trophic structure and vertical differentiation, with strong contributions from trophic level, chain length, and related measures. Together, these axes represent interpretable structural gradients in the metric space.</w:t>
      </w:r>
    </w:p>
    <w:tbl>
      <w:tblPr>
        <w:tblStyle w:val="Table"/>
        <w:tblW w:type="pct" w:w="5000"/>
        <w:tblLayout w:type="fixed"/>
        <w:tblLook w:firstRow="0" w:lastRow="0" w:firstColumn="0" w:lastColumn="0" w:noHBand="0" w:noVBand="0" w:val="0000"/>
      </w:tblPr>
      <w:tblGrid>
        <w:gridCol w:w="7920"/>
      </w:tblGrid>
      <w:tr>
        <w:tc>
          <w:tcPr/>
          <w:bookmarkStart w:id="38" w:name="fig-alignment_heatmap"/>
          <w:p>
            <w:pPr>
              <w:pStyle w:val="Compact"/>
              <w:jc w:val="center"/>
            </w:pPr>
            <w:r>
              <w:drawing>
                <wp:inline>
                  <wp:extent cx="5334000" cy="2667000"/>
                  <wp:effectExtent b="0" l="0" r="0" t="0"/>
                  <wp:docPr descr="" title="" id="36" name="Picture"/>
                  <a:graphic>
                    <a:graphicData uri="http://schemas.openxmlformats.org/drawingml/2006/picture">
                      <pic:pic>
                        <pic:nvPicPr>
                          <pic:cNvPr descr="figures/module_alignment_heatmap.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Blah blah blah - colour intensity = greater alignment</w:t>
            </w:r>
          </w:p>
          <w:bookmarkEnd w:id="38"/>
        </w:tc>
      </w:tr>
    </w:tbl>
    <w:p>
      <w:pPr>
        <w:pStyle w:val="BodyText"/>
      </w:pPr>
      <w:r>
        <w:t xml:space="preserve">The global permutation test indicated significant alignment between the modular partition and the principal component structure (P = 0.005), demonstrating that the observed module assignment explains the multivariate geometry of structural metrics better than randomly assigned modules. Alignment strength varied substantially across modules</w:t>
      </w:r>
      <w:r>
        <w:t xml:space="preserve"> </w:t>
      </w:r>
      <w:hyperlink w:anchor="fig-alignment_signif">
        <w:r>
          <w:rPr>
            <w:rStyle w:val="Hyperlink"/>
          </w:rPr>
          <w:t xml:space="preserve">Figure 4</w:t>
        </w:r>
      </w:hyperlink>
      <w:r>
        <w:t xml:space="preserve">. Macro Complexity (Module 1) exhibited the strongest and most extensive alignment, showing significant associations with five principal components and a dominant loading on PC1, indicating that it contributes substantially to the primary structural gradient associated with network size and connectivity. Energy Transport (Module 3) showed significant alignment with four principal components, with its strongest association on PC4, suggesting that it captures structural variation largely orthogonal to the dominant complexity axis. Trophic Integration (Module 2), Trophic Asymmetry (Module 4), Control Heterogeneity (Module 5), and Functional Redundancy (Module 7) displayed more limited alignment, each significantly associated with one to two principal components, indicating more constrained mapping onto the structural feature space. Notably, Functional Redundancy exhibited its strongest association with a high-order principal component (PC7), suggesting sensitivity to more subtle structural variation. Centralisation (Module 6) showed no significant alignment under the joint permutation and Z-score criterion, indicating that it does not meaningfully structure variation across the retained principal components. Overall, significant module–PC associations were concentrated in a subset of principal components, reinforcing the interpretation that modular structure maps onto specific structural gradients rather than uniformly spanning the full multivariate space.</w:t>
      </w:r>
    </w:p>
    <w:tbl>
      <w:tblPr>
        <w:tblStyle w:val="Table"/>
        <w:tblW w:type="pct" w:w="5000"/>
        <w:tblLayout w:type="fixed"/>
        <w:tblLook w:firstRow="0" w:lastRow="0" w:firstColumn="0" w:lastColumn="0" w:noHBand="0" w:noVBand="0" w:val="0000"/>
      </w:tblPr>
      <w:tblGrid>
        <w:gridCol w:w="7920"/>
      </w:tblGrid>
      <w:tr>
        <w:tc>
          <w:tcPr/>
          <w:bookmarkStart w:id="42" w:name="fig-alignment_signif"/>
          <w:p>
            <w:pPr>
              <w:pStyle w:val="Compact"/>
              <w:jc w:val="center"/>
            </w:pPr>
            <w:r>
              <w:drawing>
                <wp:inline>
                  <wp:extent cx="5334000" cy="2667000"/>
                  <wp:effectExtent b="0" l="0" r="0" t="0"/>
                  <wp:docPr descr="" title="" id="40" name="Picture"/>
                  <a:graphic>
                    <a:graphicData uri="http://schemas.openxmlformats.org/drawingml/2006/picture">
                      <pic:pic>
                        <pic:nvPicPr>
                          <pic:cNvPr descr="figures/heatmap_zscores.png" id="41" name="Picture"/>
                          <pic:cNvPicPr>
                            <a:picLocks noChangeArrowheads="1" noChangeAspect="1"/>
                          </pic:cNvPicPr>
                        </pic:nvPicPr>
                        <pic:blipFill>
                          <a:blip r:embed="rId3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2"/>
        </w:tc>
      </w:tr>
    </w:tbl>
    <w:p>
      <w:pPr>
        <w:pStyle w:val="BodyText"/>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Moreover, the dominance of a single module across multiple principal components suggests hierarchical organisation, wherein a core structural module governs the primary gradient of variation while additional modules capture secondary and specialised structural dimensions.</w:t>
      </w:r>
    </w:p>
    <w:bookmarkEnd w:id="43"/>
    <w:bookmarkStart w:id="61" w:name="predictors-of-stability"/>
    <w:p>
      <w:pPr>
        <w:pStyle w:val="Heading2"/>
      </w:pPr>
      <w:r>
        <w:t xml:space="preserve">3.4 Predictors of stability</w:t>
      </w:r>
    </w:p>
    <w:bookmarkStart w:id="48" w:name="dimensional-reduction-characterisation"/>
    <w:p>
      <w:pPr>
        <w:pStyle w:val="Heading3"/>
      </w:pPr>
      <w:r>
        <w:t xml:space="preserve">3.4.1 Dimensional Reduction Characterisation</w:t>
      </w:r>
    </w:p>
    <w:tbl>
      <w:tblPr>
        <w:tblStyle w:val="Table"/>
        <w:tblW w:type="pct" w:w="5000"/>
        <w:tblLayout w:type="fixed"/>
        <w:tblLook w:firstRow="1" w:lastRow="0" w:firstColumn="0" w:lastColumn="0" w:noHBand="0" w:noVBand="0" w:val="0020"/>
      </w:tblPr>
      <w:tblGrid>
        <w:gridCol w:w="2149"/>
        <w:gridCol w:w="1584"/>
        <w:gridCol w:w="2036"/>
        <w:gridCol w:w="2149"/>
      </w:tblGrid>
      <w:tr>
        <w:trPr>
          <w:tblHeader w:val="on"/>
        </w:trPr>
        <w:tc>
          <w:tcPr/>
          <w:p>
            <w:pPr>
              <w:pStyle w:val="Compact"/>
            </w:pPr>
            <w:r>
              <w:t xml:space="preserve">Representation</w:t>
            </w:r>
          </w:p>
        </w:tc>
        <w:tc>
          <w:tcPr/>
          <w:p>
            <w:pPr>
              <w:pStyle w:val="Compact"/>
            </w:pPr>
            <w:r>
              <w:t xml:space="preserve">Dimensionality</w:t>
            </w:r>
          </w:p>
        </w:tc>
        <w:tc>
          <w:tcPr/>
          <w:p>
            <w:pPr>
              <w:pStyle w:val="Compact"/>
            </w:pPr>
            <w:r>
              <w:t xml:space="preserve">Variance Preserved</w:t>
            </w:r>
          </w:p>
        </w:tc>
        <w:tc>
          <w:tcPr/>
          <w:p>
            <w:pPr>
              <w:pStyle w:val="Compact"/>
            </w:pPr>
            <w:r>
              <w:t xml:space="preserve">Structure Type</w:t>
            </w:r>
          </w:p>
        </w:tc>
      </w:tr>
      <w:tr>
        <w:tc>
          <w:tcPr/>
          <w:p>
            <w:pPr>
              <w:pStyle w:val="Compact"/>
            </w:pPr>
            <w:r>
              <w:t xml:space="preserve">Medoids</w:t>
            </w:r>
          </w:p>
        </w:tc>
        <w:tc>
          <w:tcPr/>
          <w:p>
            <w:pPr>
              <w:pStyle w:val="Compact"/>
            </w:pPr>
            <w:r>
              <w:t xml:space="preserve">7</w:t>
            </w:r>
          </w:p>
        </w:tc>
        <w:tc>
          <w:tcPr/>
          <w:p>
            <w:pPr>
              <w:pStyle w:val="Compact"/>
            </w:pPr>
            <w:r>
              <w:t xml:space="preserve">23%</w:t>
            </w:r>
          </w:p>
        </w:tc>
        <w:tc>
          <w:tcPr/>
          <w:p>
            <w:pPr>
              <w:pStyle w:val="Compact"/>
            </w:pPr>
            <w:r>
              <w:t xml:space="preserve">Domain sampling</w:t>
            </w:r>
          </w:p>
        </w:tc>
      </w:tr>
      <w:tr>
        <w:tc>
          <w:tcPr/>
          <w:p>
            <w:pPr>
              <w:pStyle w:val="Compact"/>
            </w:pPr>
            <w:r>
              <w:t xml:space="preserve">PC-dominant metrics</w:t>
            </w:r>
          </w:p>
        </w:tc>
        <w:tc>
          <w:tcPr/>
          <w:p>
            <w:pPr>
              <w:pStyle w:val="Compact"/>
            </w:pPr>
            <w:r>
              <w:t xml:space="preserve">4</w:t>
            </w:r>
          </w:p>
        </w:tc>
        <w:tc>
          <w:tcPr/>
          <w:p>
            <w:pPr>
              <w:pStyle w:val="Compact"/>
            </w:pPr>
            <w:r>
              <w:t xml:space="preserve">13%</w:t>
            </w:r>
          </w:p>
        </w:tc>
        <w:tc>
          <w:tcPr/>
          <w:p>
            <w:pPr>
              <w:pStyle w:val="Compact"/>
            </w:pPr>
            <w:r>
              <w:t xml:space="preserve">Axis proxy sampling</w:t>
            </w:r>
          </w:p>
        </w:tc>
      </w:tr>
      <w:tr>
        <w:tc>
          <w:tcPr/>
          <w:p>
            <w:pPr>
              <w:pStyle w:val="Compact"/>
            </w:pPr>
            <w:r>
              <w:t xml:space="preserve">PC scores</w:t>
            </w:r>
          </w:p>
        </w:tc>
        <w:tc>
          <w:tcPr/>
          <w:p>
            <w:pPr>
              <w:pStyle w:val="Compact"/>
            </w:pPr>
            <w:r>
              <w:t xml:space="preserve">5</w:t>
            </w:r>
          </w:p>
        </w:tc>
        <w:tc>
          <w:tcPr/>
          <w:p>
            <w:pPr>
              <w:pStyle w:val="Compact"/>
            </w:pPr>
            <w:r>
              <w:t xml:space="preserve">80%</w:t>
            </w:r>
          </w:p>
        </w:tc>
        <w:tc>
          <w:tcPr/>
          <w:p>
            <w:pPr>
              <w:pStyle w:val="Compact"/>
            </w:pPr>
            <w:r>
              <w:t xml:space="preserve">True latent space</w:t>
            </w:r>
          </w:p>
        </w:tc>
      </w:tr>
    </w:tbl>
    <w:p>
      <w:pPr>
        <w:pStyle w:val="BodyText"/>
      </w:pPr>
      <w:r>
        <w:t xml:space="preserve">To evaluate how alternative structural representations differed in their information content and redundancy, we quantified variance retention, internal correlation structure, effective dimensionality, and geometric similarity among representations.</w:t>
      </w:r>
    </w:p>
    <w:p>
      <w:pPr>
        <w:pStyle w:val="BodyText"/>
      </w:pPr>
      <w:r>
        <w:rPr>
          <w:b/>
          <w:bCs/>
        </w:rPr>
        <w:t xml:space="preserve">Variance Retention:</w:t>
      </w:r>
      <w:r>
        <w:t xml:space="preserve"> </w:t>
      </w:r>
      <w:r>
        <w:t xml:space="preserve">The three representations differed substantially in the proportion of total structural variance preserved (Fig. S1A). The cluster-medoid representation retained ~23% of the total variance in the full metric space despite reducing dimensionality to seven predictors. In contrast, the PC-dominant metric set retained only ~13% of total variance, reflecting the fact that individual metrics capture only a fraction of each principal component’s multivariate structure. As expected by construction, the retained PC-score representation preserved approximately 80% of total variance. Thus, domain-based reduction preserved more distributed structural information than selecting one metric per PC axis, whereas the PC-score representation maximally preserved dominant gradients of network variation.</w:t>
      </w:r>
    </w:p>
    <w:p>
      <w:pPr>
        <w:pStyle w:val="BodyText"/>
      </w:pPr>
      <w:r>
        <w:rPr>
          <w:b/>
          <w:bCs/>
        </w:rPr>
        <w:t xml:space="preserve">Internal Redundancy:</w:t>
      </w:r>
      <w:r>
        <w:t xml:space="preserve"> </w:t>
      </w:r>
      <w:r>
        <w:t xml:space="preserve">Representations also differed in their internal correlation structure (Fig. S1B). PC scores were orthogonal by definition (mean |r| ≈ 0), indicating complete statistical independence among predictors. In contrast, cluster medoids exhibited moderate residual correlation (mean |r| = X), suggesting partial overlap among structural domains. PC-dominant metrics showed comparable (or higher/lower — insert result) redundancy relative to medoids. These differences indicate that the three approaches vary not only in information retention but also in predictor independence.</w:t>
      </w:r>
    </w:p>
    <w:p>
      <w:pPr>
        <w:pStyle w:val="BodyText"/>
      </w:pPr>
      <w:r>
        <w:rPr>
          <w:b/>
          <w:bCs/>
        </w:rPr>
        <w:t xml:space="preserve">Effective Dimensionality:</w:t>
      </w:r>
      <w:r>
        <w:t xml:space="preserve"> </w:t>
      </w:r>
      <w:r>
        <w:t xml:space="preserve">We next quantified effective dimensionality as the number of axes required to explain 80% of variance within each reduced predictor set (Fig. S1C). The PC-score representation required X axes, reflecting its design to capture dominant structural gradients. The cluster-medoid representation required X axes to reach the same threshold, indicating that despite containing seven predictors, structural variation was concentrated along fewer effective dimensions. The PC-dominant set exhibited the lowest effective dimensionality (X axes), consistent with its reduced variance retention. Together, these results show that dimensional compression differed across approaches not only in magnitude but in the distribution of variance across axes.</w:t>
      </w:r>
    </w:p>
    <w:p>
      <w:pPr>
        <w:pStyle w:val="BodyText"/>
      </w:pPr>
      <w:r>
        <w:t xml:space="preserve">Overall, the three structural representations differed substantially in variance retention, redundancy, and effective dimensionality. Cluster medoids preserved moderate variance while maintaining domain interpretability, PC-dominant metrics retained minimal total variance, and PC scores preserved dominant structural gradients while ensuring predictor orthogonality. These differences establish that the representations encode distinct aspects of network topology, justifying their empirical comparison in predictive analyses of stability.</w:t>
      </w:r>
    </w:p>
    <w:tbl>
      <w:tblPr>
        <w:tblStyle w:val="Table"/>
        <w:tblW w:type="pct" w:w="5000"/>
        <w:tblLayout w:type="fixed"/>
        <w:tblLook w:firstRow="0" w:lastRow="0" w:firstColumn="0" w:lastColumn="0" w:noHBand="0" w:noVBand="0" w:val="0000"/>
      </w:tblPr>
      <w:tblGrid>
        <w:gridCol w:w="7920"/>
      </w:tblGrid>
      <w:tr>
        <w:tc>
          <w:tcPr/>
          <w:bookmarkStart w:id="47" w:name="fig-dim_red"/>
          <w:p>
            <w:pPr>
              <w:pStyle w:val="Compact"/>
              <w:jc w:val="center"/>
            </w:pPr>
            <w:r>
              <w:drawing>
                <wp:inline>
                  <wp:extent cx="5334000" cy="6788727"/>
                  <wp:effectExtent b="0" l="0" r="0" t="0"/>
                  <wp:docPr descr="" title="" id="45" name="Picture"/>
                  <a:graphic>
                    <a:graphicData uri="http://schemas.openxmlformats.org/drawingml/2006/picture">
                      <pic:pic>
                        <pic:nvPicPr>
                          <pic:cNvPr descr="figures/fig_dimensional_reduction.png" id="46" name="Picture"/>
                          <pic:cNvPicPr>
                            <a:picLocks noChangeArrowheads="1" noChangeAspect="1"/>
                          </pic:cNvPicPr>
                        </pic:nvPicPr>
                        <pic:blipFill>
                          <a:blip r:embed="rId44"/>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Figure S1. Characterisation of alternative dimensional-reduction approaches for network structural metrics. (A) Proportion of total variance in the full metric space retained by each representation: cluster medoids, PC-dominant metrics, and retained PC scores (≥80% cumulative variance). (B) Mean absolute pairwise correlation (|r|) among predictors within each representation, quantifying internal redundancy. (C) Effective dimensionality, defined as the number of axes required to explain 80% of variance within each reduced predictor set. Together, these diagnostics illustrate differences in information retention, redundancy, and structural alignment among dimensional-reduction strategies.</w:t>
            </w:r>
          </w:p>
          <w:bookmarkEnd w:id="47"/>
        </w:tc>
      </w:tr>
    </w:tbl>
    <w:bookmarkEnd w:id="48"/>
    <w:bookmarkStart w:id="55" w:name="Xc84dddb6d18a1e743db36dc7aa62f328aa8c858"/>
    <w:p>
      <w:pPr>
        <w:pStyle w:val="Heading3"/>
      </w:pPr>
      <w:r>
        <w:t xml:space="preserve">3.4.2 Predictive Performance Across Structural Representations</w:t>
      </w:r>
    </w:p>
    <w:bookmarkStart w:id="53" w:name="X7b50f5980f1a92178d840598f85f81221ca9fb6"/>
    <w:p>
      <w:pPr>
        <w:pStyle w:val="Heading4"/>
      </w:pPr>
      <w:r>
        <w:t xml:space="preserve">3.4.2.1 Predictor Importance and Structural Drivers</w:t>
      </w:r>
    </w:p>
    <w:p>
      <w:pPr>
        <w:pStyle w:val="FirstParagraph"/>
      </w:pPr>
      <w:r>
        <w:t xml:space="preserve">Across all stability components, elastic net regularization revealed that structural predictors contributed differently depending on how network space was represented. The degree of regularization (α) and the distribution of non-zero coefficients varied systematically across representations, indicating that structural abstraction alters which aspects of topology emerge as dominant drivers. Models based on fine-scale cluster descriptors retained multiple predictors with moderate standardized effects, reflecting distributed structural control across correlated topological features. In these models, structural heterogeneity metrics, similarity measures, and connectivity descriptors jointly contributed to explaining variation in stability components. By contrast, models using dominant structural metrics (PC_Dominant) tended to concentrate predictive weight onto a smaller subset of variables. This suggests that dimensional compression isolates key structural features that summarize broader topological variation, albeit at the cost of omitting more nuanced structural contributions. When stability was modelled using principal component scores (PC_Scores), structural influence was reorganized into orthogonal latent axes. In this representation, predictors frequently collapsed onto one or two dominant components, indicating that stability responses align with coordinated structural gradients rather than individual metrics. Together, these patterns demonstrate that the identification of “important” structural drivers is contingent on how network space is represented. Predictor importance is therefore not an intrinsic property of a metric alone, but emerges from the structural abstraction applied.</w:t>
      </w:r>
    </w:p>
    <w:tbl>
      <w:tblPr>
        <w:tblStyle w:val="Table"/>
        <w:tblW w:type="pct" w:w="5000"/>
        <w:tblLayout w:type="fixed"/>
        <w:tblLook w:firstRow="0" w:lastRow="0" w:firstColumn="0" w:lastColumn="0" w:noHBand="0" w:noVBand="0" w:val="0000"/>
      </w:tblPr>
      <w:tblGrid>
        <w:gridCol w:w="7920"/>
      </w:tblGrid>
      <w:tr>
        <w:tc>
          <w:tcPr/>
          <w:bookmarkStart w:id="52" w:name="fig-var_pred"/>
          <w:p>
            <w:pPr>
              <w:pStyle w:val="Compact"/>
              <w:jc w:val="center"/>
            </w:pPr>
            <w:r>
              <w:drawing>
                <wp:inline>
                  <wp:extent cx="5334000" cy="6788727"/>
                  <wp:effectExtent b="0" l="0" r="0" t="0"/>
                  <wp:docPr descr="" title="" id="50" name="Picture"/>
                  <a:graphic>
                    <a:graphicData uri="http://schemas.openxmlformats.org/drawingml/2006/picture">
                      <pic:pic>
                        <pic:nvPicPr>
                          <pic:cNvPr descr="figures/struct_stability_summ.png" id="51" name="Picture"/>
                          <pic:cNvPicPr>
                            <a:picLocks noChangeArrowheads="1" noChangeAspect="1"/>
                          </pic:cNvPicPr>
                        </pic:nvPicPr>
                        <pic:blipFill>
                          <a:blip r:embed="rId49"/>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Predictive performance of structural representations across stability components. Cross-validated variance explained (R2) for each stability component (facets) under three representations of network structure: fine-scale cluster descriptors, dominant structural metrics, and principal component scores. Points represent mean predictive performance across repeated cross-validation folds; error bars denote ±1 standard deviation. Faceting separates stability components. Differences among representations indicate how the abstraction of structural space influences the strength of structural control across stability facets. B: Regularization structure across stability components and structural representations. Mean elastic-net mixing parameter (α) across repeated cross-validation folds for each stability component and structural representation. Values near zero indicate ridge-like models where predictive signal is distributed across correlated predictors; values near one indicate lasso-like models where a small number of predictors dominate. Faceting highlights how structural abstraction alters the concentration or dispersion of structural influence underlying different facets of stability.</w:t>
            </w:r>
          </w:p>
          <w:bookmarkEnd w:id="52"/>
        </w:tc>
      </w:tr>
    </w:tbl>
    <w:bookmarkEnd w:id="53"/>
    <w:bookmarkStart w:id="54" w:name="structural-drivers-of-stability"/>
    <w:p>
      <w:pPr>
        <w:pStyle w:val="Heading4"/>
      </w:pPr>
      <w:r>
        <w:t xml:space="preserve">3.4.2.2 Structural Drivers of Stability</w:t>
      </w:r>
    </w:p>
    <w:p>
      <w:pPr>
        <w:pStyle w:val="FirstParagraph"/>
      </w:pPr>
      <w:r>
        <w:t xml:space="preserve">Predictive performance differed substantially across stability components and structural representations, revealing variation in how strongly each facet of stability is encoded in static network architecture. Across all representations, ρ exhibited the strongest structural determination, with the highest cross-validated predictive performance under the multivariate PC representation. This indicates that ρ is most effectively captured as a response to coordinated structural gradients embedded within the network topology. Complexity showed intermediate structural predictability, with highest performance at the fine-scale cluster level. This suggests that complexity is shaped by distributed topological features that are partially lost under structural compression but captured when network heterogeneity is described at higher resolution. Robustness exhibited comparatively weak structural predictability across representations. Although modest improvements were observed under principal component abstraction, overall explanatory power remained low relative to other stability components. This pattern implies that robustness is not strongly determined by static structural descriptors alone and may depend on additional dynamical or context-dependent processes not captured in topology. Importantly, shifts in predictive performance across representations indicate that structural abstraction alters the apparent strength of structural control. Certain stability components become more predictable when topology is expressed as fine-grained metrics, whereas others align more strongly with latent structural gradients. Thus, the representation of network space directly shapes inferences about structural drivers of stability.</w:t>
      </w:r>
    </w:p>
    <w:bookmarkEnd w:id="54"/>
    <w:bookmarkEnd w:id="55"/>
    <w:bookmarkStart w:id="60" w:name="X73913e843a710c2fae54bf48cab233da110fa6d"/>
    <w:p>
      <w:pPr>
        <w:pStyle w:val="Heading3"/>
      </w:pPr>
      <w:r>
        <w:t xml:space="preserve">3.4.3 Differential Effects Across Stability Components</w:t>
      </w:r>
    </w:p>
    <w:p>
      <w:pPr>
        <w:pStyle w:val="FirstParagraph"/>
      </w:pPr>
      <w:r>
        <w:t xml:space="preserve">The relationship between network structure and stability was not uniform across components but instead varied systematically in both magnitude and architecture. Complexity was governed by distributed structural influence, with intermediate regularization and multiple retained predictors across representations. This indicates that complexity reflects the cumulative effect of multiple interacting topological features rather than a single dominant driver. In contrast, ρ displayed stronger alignment with multivariate structural axes. Its predictive structure was most coherent under principal component abstraction, suggesting that it emerges from integrated patterns of connectivity and organization that span multiple network dimensions. Robustness differed qualitatively. Under principal component representation, models shifted toward sparsity, with a single dominant structural axis explaining most retained signal. However, overall explanatory power remained modest. This implies that robustness may be only weakly constrained by static network architecture and potentially more sensitive to perturbation dynamics or species-level functional traits.</w:t>
      </w:r>
    </w:p>
    <w:p>
      <w:pPr>
        <w:pStyle w:val="BodyText"/>
      </w:pPr>
      <w:r>
        <w:t xml:space="preserve">Collectively, these results demonstrate that stability components occupy distinct positions within structural space and are governed by different structural hierarchies. Complexity is shaped by distributed fine-scale topology, ρ emerges from coordinated multivariate structural gradients, and robustness exhibits comparatively weak and representation-sensitive structural determination. Rather than reflecting a single structural driver, stability components are organized along layered and facet-specific dimensions of network architecture.</w:t>
      </w:r>
    </w:p>
    <w:tbl>
      <w:tblPr>
        <w:tblStyle w:val="Table"/>
        <w:tblW w:type="pct" w:w="5000"/>
        <w:tblLayout w:type="fixed"/>
        <w:tblLook w:firstRow="0" w:lastRow="0" w:firstColumn="0" w:lastColumn="0" w:noHBand="0" w:noVBand="0" w:val="0000"/>
      </w:tblPr>
      <w:tblGrid>
        <w:gridCol w:w="7920"/>
      </w:tblGrid>
      <w:tr>
        <w:tc>
          <w:tcPr/>
          <w:bookmarkStart w:id="59" w:name="fig-stab_corr"/>
          <w:p>
            <w:pPr>
              <w:pStyle w:val="Compact"/>
              <w:jc w:val="center"/>
            </w:pPr>
            <w:r>
              <w:drawing>
                <wp:inline>
                  <wp:extent cx="5334000" cy="4444999"/>
                  <wp:effectExtent b="0" l="0" r="0" t="0"/>
                  <wp:docPr descr="" title="" id="57" name="Picture"/>
                  <a:graphic>
                    <a:graphicData uri="http://schemas.openxmlformats.org/drawingml/2006/picture">
                      <pic:pic>
                        <pic:nvPicPr>
                          <pic:cNvPr descr="figures/struct_stability_coeff.png" id="58" name="Picture"/>
                          <pic:cNvPicPr>
                            <a:picLocks noChangeArrowheads="1" noChangeAspect="1"/>
                          </pic:cNvPicPr>
                        </pic:nvPicPr>
                        <pic:blipFill>
                          <a:blip r:embed="rId56"/>
                          <a:stretch>
                            <a:fillRect/>
                          </a:stretch>
                        </pic:blipFill>
                        <pic:spPr bwMode="auto">
                          <a:xfrm>
                            <a:off x="0" y="0"/>
                            <a:ext cx="5334000" cy="4444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Standardised structural coefficients linking network predictors to stability components across representations. Elastic-net coefficients extracted from full models after cross-validation. Positive and negative coefficients indicate the direction and magnitude of structural influence. Predictor ordering reflects clustering metadata, and colours denote structural modules or metric groupings. Faceting by stability component and structural representation illustrates how the identity and strength of structural drivers reorganize as network space is represented at different levels of abstraction.</w:t>
            </w:r>
          </w:p>
          <w:bookmarkEnd w:id="59"/>
        </w:tc>
      </w:tr>
    </w:tbl>
    <w:bookmarkEnd w:id="60"/>
    <w:bookmarkEnd w:id="61"/>
    <w:bookmarkEnd w:id="62"/>
    <w:bookmarkStart w:id="69" w:name="discussion"/>
    <w:p>
      <w:pPr>
        <w:pStyle w:val="Heading1"/>
      </w:pPr>
      <w:r>
        <w:t xml:space="preserve">4. Discussion</w:t>
      </w:r>
    </w:p>
    <w:bookmarkStart w:id="63" w:name="Xaba5ec532fb6845195cb93ccf86bb1feb69a370"/>
    <w:p>
      <w:pPr>
        <w:pStyle w:val="Heading2"/>
      </w:pPr>
      <w:r>
        <w:t xml:space="preserve">4.1 Why consensus on “the best metric” has remained elusive</w:t>
      </w:r>
    </w:p>
    <w:p>
      <w:pPr>
        <w:pStyle w:val="FirstParagraph"/>
      </w:pPr>
      <w:r>
        <w:t xml:space="preserve">For more than four decades, the structure–stability debate has oscillated between competing structural descriptors, from connectance and complexity to modularity, omnivory, and trophic redundancy. Early theoretical work, most notably by May, suggested that increasing complexity should destabilise large systems, placing global descriptors such as connectance and interaction density at the centre of the debate. Subsequent empirical and theoretical studies, however, demonstrated stabilising roles for omnivory, weak links, and compartmentalisation (e.g. McCann; Dunne), shifting attention toward pathway-level and geometric properties. Our results suggest that this apparent inconsistency does not arise because some metrics are “wrong,” but because they capture different dimensions of a fundamentally multi-layered architecture. Food-web structure is not a single axis ranging from simple to complex; it is a high-dimensional space in which node composition, pathway routing, geometric constraint, and emergent organisation vary semi-independently. Metrics that have historically been treated as competitors—such as richness, connectance, omnivory, and redundancy—are in fact anchors of distinct structural dimensions. This explains why no single metric consistently predicts “stability” across studies: stability itself is not singular. When studies measure persistence (e.g. secondary extinctions), node-level balance and redundancy dominate. When they measure local stability or damping, path-level coupling and basal channel dominance matter more. When they measure recovery or informational organisation, global heterogeneity and role differentiation become decisive. The search for a universal structural predictor of stability has therefore been misguided—not because structure is unimportant, but because both structure and stability are multidimensional.</w:t>
      </w:r>
    </w:p>
    <w:bookmarkEnd w:id="63"/>
    <w:bookmarkStart w:id="64" w:name="X59d7ae37e4176aa163c203d19f94cdfcc256ab1"/>
    <w:p>
      <w:pPr>
        <w:pStyle w:val="Heading2"/>
      </w:pPr>
      <w:r>
        <w:t xml:space="preserve">4.2 Reconciling contrasting structure–stability relationships</w:t>
      </w:r>
    </w:p>
    <w:p>
      <w:pPr>
        <w:pStyle w:val="FirstParagraph"/>
      </w:pPr>
      <w:r>
        <w:t xml:space="preserve">A persistent challenge in the literature has been that similar metrics sometimes show opposite associations with stability. For example, omnivory has been reported as stabilising in some contexts and destabilising in others. Within our framework, this variability is expected. Path-level coupling (e.g. omnivory motifs) primarily relates to resistance—the containment or diffusion of perturbations—rather than persistence per se. A structure that dampens oscillations may not prevent extinction cascades, and vice versa. Similarly, our finding that richness contributes substantially to structural variance but fails to predict any stability component underscores an important decoupling: network size is not synonymous with robustness. This result aligns with empirical syntheses showing that species richness alone poorly predicts secondary extinction resistance unless accompanied by trophic balance or redundancy. In our analyses, the predator–prey ratio and herbivory—metrics reflecting trophic shape and basal channel dominance—were far stronger determinants of persistence and damping than richness itself. This helps reconcile why biodiversity–stability studies sometimes find positive, neutral, or context-dependent relationships. Richness operates primarily as a geometric scaling variable. Its effect on stability depends on how additional species alter the configuration of energy channels—whether they add redundancy, elongate chains, skew trophic balance, or increase coupling. Without specifying which structural dimension richness modifies, its stability effect is indeterminate.</w:t>
      </w:r>
    </w:p>
    <w:bookmarkEnd w:id="64"/>
    <w:bookmarkStart w:id="65" w:name="X2672a5581130aaf002eedcd1c0a12987031a3bf"/>
    <w:p>
      <w:pPr>
        <w:pStyle w:val="Heading2"/>
      </w:pPr>
      <w:r>
        <w:t xml:space="preserve">4.3 Implications for biodiversity–stability theory</w:t>
      </w:r>
    </w:p>
    <w:p>
      <w:pPr>
        <w:pStyle w:val="FirstParagraph"/>
      </w:pPr>
      <w:r>
        <w:t xml:space="preserve">Our results contribute to a long-standing tension between the “complexity begets instability” argument and more recent views that diversity enhances resilience. The resolution lies in recognising that different dimensions of complexity influence different stability components. Redundancy and trophic similarity (low MaxSim heterogeneity) enhance persistence by providing functional compensation following species loss. Pathway multiplicity and basal channel dominance regulate resistance by shaping how perturbations propagate. Global organisational heterogeneity (captured by SVD complexity and spectral properties) influences return dynamics by constraining system-wide oscillations and reassembly patterns. In this sense, complexity is neither inherently stabilising nor destabilising. Instead, distinct forms of complexity map onto distinct dynamical outcomes. Connectance, motif structure, redundancy, and informational heterogeneity are not interchangeable proxies for “complexity,” but structurally and mechanistically distinct attributes. By explicitly embedding food-web metrics within an energy-flow hierarchy, our framework reframes biodiversity–stability theory. Stability emerges not from species number alone, but from the configuration of energy channels and the distribution of functional roles across those channels. A bottom-heavy web with balanced predator–prey ratios and differentiated trophic niches may achieve both persistence and damping, even at moderate richness. Conversely, a species-rich but top-heavy or weakly differentiated web may remain fragile.</w:t>
      </w:r>
    </w:p>
    <w:bookmarkEnd w:id="65"/>
    <w:bookmarkStart w:id="66" w:name="Xcd8cd6f0ed669353f77975c47c403d00ca78ff9"/>
    <w:p>
      <w:pPr>
        <w:pStyle w:val="Heading2"/>
      </w:pPr>
      <w:r>
        <w:t xml:space="preserve">4.4 Structural modularity and the minimum sufficient set</w:t>
      </w:r>
    </w:p>
    <w:p>
      <w:pPr>
        <w:pStyle w:val="FirstParagraph"/>
      </w:pPr>
      <w:r>
        <w:t xml:space="preserve">A key practical outcome of our analysis is the identification of six structural pillars that capture nearly 85% of the variation in network architecture. Despite starting with 31 commonly used metrics, much of their variance collapses into a smaller number of independent axes. Hierarchical clustering further revealed robust modules corresponding to trophic balance, pathway structure, geometric scale, and redundancy. This dimensional reduction has two important implications. First, it demonstrates that many commonly reported metrics are statistically redundant. Reporting both connectance and L/S, or multiple correlated distance measures, adds little new information. Second, it provides a principled route toward a minimum sufficient descriptor set tailored to ecological questions. Rather than selecting metrics by convention, researchers can select representatives of the relevant structural scale.</w:t>
      </w:r>
    </w:p>
    <w:bookmarkEnd w:id="66"/>
    <w:bookmarkStart w:id="67" w:name="Xada8c6c776e637fe9cce3d4170260c732954712"/>
    <w:p>
      <w:pPr>
        <w:pStyle w:val="Heading2"/>
      </w:pPr>
      <w:r>
        <w:t xml:space="preserve">4.5 Guidance for metric choice based on ecological question</w:t>
      </w:r>
    </w:p>
    <w:p>
      <w:pPr>
        <w:pStyle w:val="FirstParagraph"/>
      </w:pPr>
      <w:r>
        <w:t xml:space="preserve">If the question concerns extinction cascades or tolerance to species loss (persistence): prioritise node-level balance and redundancy metrics (e.g. predator–prey ratio, herbivory, similarity). If the question concerns perturbation propagation or damping (resistance): focus on path-level and basal-channel metrics (e.g. pathway multiplicity, omnivory, mean distance). If the question concerns recovery dynamics or organisational reassembly (return): emphasise global heterogeneity and spectral measures (e.g. SVD complexity, spectral radius). If the question concerns comparative architecture across systems: use geometric anchors (e.g. richness) but interpret them as scale descriptors rather than stability predictors. This scale-explicit approach shifts the emphasis from asking “Which metric best predicts stability?” to “Which structural dimension corresponds to the stability mechanism of interest?”</w:t>
      </w:r>
    </w:p>
    <w:bookmarkEnd w:id="67"/>
    <w:bookmarkStart w:id="68" w:name="limitations-and-future-directions"/>
    <w:p>
      <w:pPr>
        <w:pStyle w:val="Heading2"/>
      </w:pPr>
      <w:r>
        <w:t xml:space="preserve">4.6 Limitations and future directions</w:t>
      </w:r>
    </w:p>
    <w:p>
      <w:pPr>
        <w:pStyle w:val="FirstParagraph"/>
      </w:pPr>
      <w:r>
        <w:t xml:space="preserve">While our framework clarifies structural dimensionality, it remains grounded in static network topology. Real ecosystems exhibit interaction strengths, temporal variability, adaptive rewiring, and environmental forcing. Incorporating weighted networks and dynamic simulations would strengthen the mechanistic link between structural axes and realised dynamics. Additionally, the separation of persistence, resistance, and return is analytically useful but biologically intertwined. For example, structures that enhance resistance may indirectly support persistence by preventing large cascades. Future work could explore how these components interact across environmental gradients and disturbance regimes. Finally, extending this framework beyond trophic networks to mutualistic, host–parasite, or multilayer networks would test its generality. The energy-flow hierarchy proposed here may represent a broader organising principle of ecological interaction systems.</w:t>
      </w:r>
    </w:p>
    <w:bookmarkEnd w:id="68"/>
    <w:bookmarkEnd w:id="69"/>
    <w:bookmarkStart w:id="72" w:name="conclusion"/>
    <w:p>
      <w:pPr>
        <w:pStyle w:val="Heading1"/>
      </w:pPr>
      <w:r>
        <w:t xml:space="preserve">5. Conclusion</w:t>
      </w:r>
    </w:p>
    <w:p>
      <w:pPr>
        <w:pStyle w:val="FirstParagraph"/>
      </w:pPr>
      <w:r>
        <w:t xml:space="preserve">Food-web stability is not governed by a single structural property, but by multiple, hierarchically organised dimensions of network architecture. Node composition, pathway routing, geometric constraint, and emergent organisation each represent distinct levers through which ecosystems maintain persistence, resist perturbation, and reorganise following disturbance.</w:t>
      </w:r>
    </w:p>
    <w:p>
      <w:pPr>
        <w:pStyle w:val="BodyText"/>
      </w:pPr>
      <w:r>
        <w:t xml:space="preserve">By explicitly mapping structural scale to stability mechanism, we reconcile decades of seemingly conflicting findings in the structure–stability literature. The key insight is not that one metric is superior, but that different metrics answer different ecological questions. Recognising and embracing this multidimensionality provides a coherent foundation for future biodiversity–stability research and a practical framework for selecting network descriptors based on mechanism rather than tradition.</w:t>
      </w:r>
    </w:p>
    <w:tbl>
      <w:tblPr>
        <w:tblStyle w:val="Table"/>
        <w:tblW w:type="pct" w:w="5000"/>
        <w:tblLayout w:type="fixed"/>
        <w:tblLook w:firstRow="0" w:lastRow="0" w:firstColumn="0" w:lastColumn="0" w:noHBand="0" w:noVBand="0" w:val="0000"/>
      </w:tblPr>
      <w:tblGrid>
        <w:gridCol w:w="7920"/>
      </w:tblGrid>
      <w:tr>
        <w:tc>
          <w:tcPr/>
          <w:bookmarkStart w:id="70" w:name="tbl-metrics"/>
          <w:p>
            <w:pPr>
              <w:jc w:val="center"/>
            </w:pPr>
            <w:pPr>
              <w:jc w:val="left"/>
              <w:spacing w:before="200"/>
              <w:pStyle w:val="ImageCaption"/>
            </w:pPr>
            <w:r>
              <w:t xml:space="preserve">Table 3: Network properties used for analysis.</w:t>
            </w:r>
          </w:p>
          <w:tbl>
            <w:tblPr>
              <w:tblStyle w:val="Table"/>
              <w:tblW w:type="pct" w:w="5000"/>
              <w:tblLayout w:type="fixed"/>
              <w:tblLook w:firstRow="1" w:lastRow="0" w:firstColumn="0" w:lastColumn="0" w:noHBand="0" w:noVBand="0" w:val="0020"/>
            </w:tblPr>
            <w:tblGrid>
              <w:gridCol w:w="1870"/>
              <w:gridCol w:w="1870"/>
              <w:gridCol w:w="2310"/>
              <w:gridCol w:w="1870"/>
            </w:tblGrid>
            <w:tr>
              <w:trPr>
                <w:tblHeader w:val="on"/>
              </w:trPr>
              <w:tc>
                <w:tcPr/>
                <w:p>
                  <w:pPr>
                    <w:pStyle w:val="Compact"/>
                    <w:jc w:val="center"/>
                  </w:pPr>
                  <w:r>
                    <w:t xml:space="preserve">Dimension</w:t>
                  </w:r>
                </w:p>
              </w:tc>
              <w:tc>
                <w:tcPr/>
                <w:p>
                  <w:pPr>
                    <w:pStyle w:val="Compact"/>
                    <w:jc w:val="center"/>
                  </w:pPr>
                  <w:r>
                    <w:t xml:space="preserve">Key Metrics</w:t>
                  </w:r>
                </w:p>
              </w:tc>
              <w:tc>
                <w:tcPr/>
                <w:p>
                  <w:pPr>
                    <w:pStyle w:val="Compact"/>
                    <w:jc w:val="center"/>
                  </w:pPr>
                  <w:r>
                    <w:t xml:space="preserve">Expected Effect on Stability</w:t>
                  </w:r>
                </w:p>
              </w:tc>
              <w:tc>
                <w:tcPr/>
                <w:p>
                  <w:pPr>
                    <w:pStyle w:val="Compact"/>
                    <w:jc w:val="center"/>
                  </w:pPr>
                  <w:r>
                    <w:t xml:space="preserve">Supporting Literature</w:t>
                  </w:r>
                </w:p>
              </w:tc>
            </w:tr>
            <w:tr>
              <w:tc>
                <w:tcPr/>
                <w:p>
                  <w:pPr>
                    <w:pStyle w:val="Compact"/>
                    <w:jc w:val="center"/>
                  </w:pPr>
                  <w:r>
                    <w:t xml:space="preserve">Complexity &amp; Redundancy</w:t>
                  </w:r>
                </w:p>
              </w:tc>
              <w:tc>
                <w:tcPr/>
                <w:p>
                  <w:pPr>
                    <w:pStyle w:val="Compact"/>
                    <w:jc w:val="center"/>
                  </w:pPr>
                  <w:r>
                    <w:t xml:space="preserve">Connectance, MaxSim, Links</w:t>
                  </w:r>
                </w:p>
              </w:tc>
              <w:tc>
                <w:tcPr/>
                <w:p>
                  <w:pPr>
                    <w:pStyle w:val="Compact"/>
                    <w:jc w:val="center"/>
                  </w:pPr>
                  <w:r>
                    <w:rPr>
                      <w:b/>
                      <w:bCs/>
                    </w:rPr>
                    <w:t xml:space="preserve">Positive:</w:t>
                  </w:r>
                  <w:r>
                    <w:t xml:space="preserve"> </w:t>
                  </w:r>
                  <w:r>
                    <w:t xml:space="preserve">High redundancy allows for</w:t>
                  </w:r>
                  <w:r>
                    <w:t xml:space="preserve"> </w:t>
                  </w:r>
                  <w:r>
                    <w:t xml:space="preserve">‘functional compensation’</w:t>
                  </w:r>
                  <w:r>
                    <w:t xml:space="preserve"> </w:t>
                  </w:r>
                  <w:r>
                    <w:t xml:space="preserve">if one species is lost.</w:t>
                  </w:r>
                </w:p>
              </w:tc>
              <w:tc>
                <w:tcPr/>
                <w:p>
                  <w:pPr>
                    <w:pStyle w:val="Compact"/>
                    <w:jc w:val="center"/>
                  </w:pPr>
                  <w:r>
                    <w:t xml:space="preserve">[15]</w:t>
                  </w:r>
                  <w:r>
                    <w:t xml:space="preserve">;</w:t>
                  </w:r>
                  <w:r>
                    <w:t xml:space="preserve"> </w:t>
                  </w:r>
                  <w:r>
                    <w:t xml:space="preserve">[8]</w:t>
                  </w:r>
                </w:p>
              </w:tc>
            </w:tr>
            <w:tr>
              <w:tc>
                <w:tcPr/>
                <w:p>
                  <w:pPr>
                    <w:pStyle w:val="Compact"/>
                    <w:jc w:val="center"/>
                  </w:pPr>
                  <w:r>
                    <w:t xml:space="preserve">Compartmentalization</w:t>
                  </w:r>
                </w:p>
              </w:tc>
              <w:tc>
                <w:tcPr/>
                <w:p>
                  <w:pPr>
                    <w:pStyle w:val="Compact"/>
                    <w:jc w:val="center"/>
                  </w:pPr>
                  <w:r>
                    <w:t xml:space="preserve">Clust, Modularity, ρ</w:t>
                  </w:r>
                </w:p>
              </w:tc>
              <w:tc>
                <w:tcPr/>
                <w:p>
                  <w:pPr>
                    <w:pStyle w:val="Compact"/>
                    <w:jc w:val="center"/>
                  </w:pPr>
                  <w:r>
                    <w:rPr>
                      <w:b/>
                      <w:bCs/>
                    </w:rPr>
                    <w:t xml:space="preserve">Positive:</w:t>
                  </w:r>
                  <w:r>
                    <w:t xml:space="preserve"> </w:t>
                  </w:r>
                  <w:r>
                    <w:t xml:space="preserve">Limits the spread of perturbations; local collapses don’t become global.</w:t>
                  </w:r>
                </w:p>
              </w:tc>
              <w:tc>
                <w:tcPr/>
                <w:p>
                  <w:pPr>
                    <w:pStyle w:val="Compact"/>
                    <w:jc w:val="center"/>
                  </w:pPr>
                  <w:r>
                    <w:t xml:space="preserve">[1]</w:t>
                  </w:r>
                </w:p>
              </w:tc>
            </w:tr>
            <w:tr>
              <w:tc>
                <w:tcPr/>
                <w:p>
                  <w:pPr>
                    <w:pStyle w:val="Compact"/>
                    <w:jc w:val="center"/>
                  </w:pPr>
                  <w:r>
                    <w:t xml:space="preserve">Feedback &amp; Coupling</w:t>
                  </w:r>
                </w:p>
              </w:tc>
              <w:tc>
                <w:tcPr/>
                <w:p>
                  <w:pPr>
                    <w:pStyle w:val="Compact"/>
                    <w:jc w:val="center"/>
                  </w:pPr>
                  <w:r>
                    <w:t xml:space="preserve">Omnivory (S2), Loop, ChLen</w:t>
                  </w:r>
                </w:p>
              </w:tc>
              <w:tc>
                <w:tcPr/>
                <w:p>
                  <w:pPr>
                    <w:pStyle w:val="Compact"/>
                    <w:jc w:val="center"/>
                  </w:pPr>
                  <w:r>
                    <w:rPr>
                      <w:b/>
                      <w:bCs/>
                    </w:rPr>
                    <w:t xml:space="preserve">Variable:</w:t>
                  </w:r>
                  <w:r>
                    <w:t xml:space="preserve"> </w:t>
                  </w:r>
                  <w:r>
                    <w:t xml:space="preserve">Omnivory can stabilize by diffusing energy, but long chains can amplify oscillations.</w:t>
                  </w:r>
                </w:p>
              </w:tc>
              <w:tc>
                <w:tcPr/>
                <w:p>
                  <w:pPr>
                    <w:pStyle w:val="Compact"/>
                    <w:jc w:val="center"/>
                  </w:pPr>
                  <w:r>
                    <w:t xml:space="preserve">[8]</w:t>
                  </w:r>
                  <w:r>
                    <w:t xml:space="preserve">;</w:t>
                  </w:r>
                  <w:r>
                    <w:t xml:space="preserve"> </w:t>
                  </w:r>
                  <w:r>
                    <w:t xml:space="preserve">[16]</w:t>
                  </w:r>
                </w:p>
              </w:tc>
            </w:tr>
            <w:tr>
              <w:tc>
                <w:tcPr/>
                <w:p>
                  <w:pPr>
                    <w:pStyle w:val="Compact"/>
                    <w:jc w:val="center"/>
                  </w:pPr>
                  <w:r>
                    <w:t xml:space="preserve">Hierarchy &amp; Shape</w:t>
                  </w:r>
                </w:p>
              </w:tc>
              <w:tc>
                <w:tcPr/>
                <w:p>
                  <w:pPr>
                    <w:pStyle w:val="Compact"/>
                    <w:jc w:val="center"/>
                  </w:pPr>
                  <w:r>
                    <w:t xml:space="preserve">Prey:Predator, Basal, Top</w:t>
                  </w:r>
                </w:p>
              </w:tc>
              <w:tc>
                <w:tcPr/>
                <w:p>
                  <w:pPr>
                    <w:pStyle w:val="Compact"/>
                    <w:jc w:val="center"/>
                  </w:pPr>
                  <w:r>
                    <w:rPr>
                      <w:b/>
                      <w:bCs/>
                    </w:rPr>
                    <w:t xml:space="preserve">Critical:</w:t>
                  </w:r>
                  <w:r>
                    <w:t xml:space="preserve"> </w:t>
                  </w:r>
                  <w:r>
                    <w:t xml:space="preserve">‘Bottom-heavy’</w:t>
                  </w:r>
                  <w:r>
                    <w:t xml:space="preserve"> </w:t>
                  </w:r>
                  <w:r>
                    <w:t xml:space="preserve">systems are generally more stable; inverted pyramids are fragile.</w:t>
                  </w:r>
                </w:p>
              </w:tc>
              <w:tc>
                <w:tcPr/>
                <w:p>
                  <w:pPr>
                    <w:pStyle w:val="Compact"/>
                  </w:pPr>
                </w:p>
              </w:tc>
            </w:tr>
            <w:tr>
              <w:tc>
                <w:tcPr/>
                <w:p>
                  <w:pPr>
                    <w:pStyle w:val="Compact"/>
                    <w:jc w:val="center"/>
                  </w:pPr>
                  <w:r>
                    <w:t xml:space="preserve">Information Heterogeneity</w:t>
                  </w:r>
                </w:p>
              </w:tc>
              <w:tc>
                <w:tcPr/>
                <w:p>
                  <w:pPr>
                    <w:pStyle w:val="Compact"/>
                    <w:jc w:val="center"/>
                  </w:pPr>
                  <w:r>
                    <w:t xml:space="preserve">SVD Complexity, LinkSD</w:t>
                  </w:r>
                </w:p>
              </w:tc>
              <w:tc>
                <w:tcPr/>
                <w:p>
                  <w:pPr>
                    <w:pStyle w:val="Compact"/>
                    <w:jc w:val="center"/>
                  </w:pPr>
                  <w:r>
                    <w:rPr>
                      <w:b/>
                      <w:bCs/>
                    </w:rPr>
                    <w:t xml:space="preserve">Positive:</w:t>
                  </w:r>
                  <w:r>
                    <w:t xml:space="preserve"> </w:t>
                  </w:r>
                  <w:r>
                    <w:t xml:space="preserve">Diverse interaction strengths prevent</w:t>
                  </w:r>
                  <w:r>
                    <w:t xml:space="preserve"> </w:t>
                  </w:r>
                  <w:r>
                    <w:t xml:space="preserve">‘resonant’</w:t>
                  </w:r>
                  <w:r>
                    <w:t xml:space="preserve"> </w:t>
                  </w:r>
                  <w:r>
                    <w:t xml:space="preserve">instabilities.</w:t>
                  </w:r>
                </w:p>
              </w:tc>
              <w:tc>
                <w:tcPr/>
                <w:p>
                  <w:pPr>
                    <w:pStyle w:val="Compact"/>
                    <w:jc w:val="center"/>
                  </w:pPr>
                  <w:r>
                    <w:t xml:space="preserve">[17]</w:t>
                  </w:r>
                </w:p>
              </w:tc>
            </w:tr>
          </w:tbl>
          <w:bookmarkEnd w:id="70"/>
          <w:p/>
        </w:tc>
      </w:tr>
    </w:tbl>
    <w:p>
      <w:pPr>
        <w:pStyle w:val="BodyText"/>
      </w:pPr>
      <w:r>
        <w:t xml:space="preserve">To better link network structure to ecosystem function, we grouped commonly used food web metrics into four functional categories reflecting their ecological interpretation. Node-level metrics (e.g., basal, top, intermediate, herbivory, cannibal, trophic level, centrality, MaxSim) capture the roles and properties of individual species. Path-level metrics (</w:t>
      </w:r>
      <w:r>
        <w:rPr>
          <w:i/>
          <w:iCs/>
        </w:rPr>
        <w:t xml:space="preserve">e.g.,</w:t>
      </w:r>
      <w:r>
        <w:t xml:space="preserve"> </w:t>
      </w:r>
      <w:r>
        <w:t xml:space="preserve">food chain lengths, motifs, omnivory, loops, prey-to-predator ratios) describe how energy and interactions flow through the network. Geometry metrics (e.g., connectance, link density, clustering, variation in links, diameter, intervality, spectral radius, SVD complexity) quantify the overall network arrangement and topological organization. Finally, behavioural/system-level metrics (e.g., robustness, spectral radius, SVD complexity) capture emergent properties such as resilience, redundancy, and dynamic stability. This framework provides a transparent, ecologically interpretable mapping from species-level roles and interaction paths to system-level behaviour, facilitates identification of a Minimum Sufficient Set of descriptors, and links network structure to long-standing questions in the stability–complexity debate.</w:t>
      </w:r>
    </w:p>
    <w:tbl>
      <w:tblPr>
        <w:tblStyle w:val="Table"/>
        <w:tblW w:type="pct" w:w="5000"/>
        <w:tblLayout w:type="fixed"/>
        <w:tblLook w:firstRow="0" w:lastRow="0" w:firstColumn="0" w:lastColumn="0" w:noHBand="0" w:noVBand="0" w:val="0000"/>
      </w:tblPr>
      <w:tblGrid>
        <w:gridCol w:w="7920"/>
      </w:tblGrid>
      <w:tr>
        <w:tc>
          <w:tcPr/>
          <w:bookmarkStart w:id="71" w:name="tbl-classification"/>
          <w:p>
            <w:pPr>
              <w:jc w:val="center"/>
            </w:pPr>
            <w:pPr>
              <w:jc w:val="left"/>
              <w:spacing w:before="200"/>
              <w:pStyle w:val="ImageCaption"/>
            </w:pPr>
            <w:r>
              <w:t xml:space="preserve">Table 4: Classification of food web metrics into functional categories. Node-level metrics capture species roles; path-level metrics capture energy or interaction flows; geometry metrics describe network structure; and behaviour/system-level metrics capture emergent stability and resilience.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Category</w:t>
                  </w:r>
                </w:p>
              </w:tc>
              <w:tc>
                <w:tcPr/>
                <w:p>
                  <w:pPr>
                    <w:pStyle w:val="Compact"/>
                    <w:jc w:val="center"/>
                  </w:pPr>
                  <w:r>
                    <w:t xml:space="preserve">Metrics</w:t>
                  </w:r>
                </w:p>
              </w:tc>
              <w:tc>
                <w:tcPr/>
                <w:p>
                  <w:pPr>
                    <w:pStyle w:val="Compact"/>
                    <w:jc w:val="center"/>
                  </w:pPr>
                  <w:r>
                    <w:t xml:space="preserve">Rationale</w:t>
                  </w:r>
                </w:p>
              </w:tc>
            </w:tr>
            <w:tr>
              <w:tc>
                <w:tcPr/>
                <w:p>
                  <w:pPr>
                    <w:pStyle w:val="Compact"/>
                    <w:jc w:val="center"/>
                  </w:pPr>
                  <w:r>
                    <w:t xml:space="preserve">Node-level</w:t>
                  </w:r>
                </w:p>
              </w:tc>
              <w:tc>
                <w:tcPr/>
                <w:p>
                  <w:pPr>
                    <w:pStyle w:val="Compact"/>
                    <w:jc w:val="center"/>
                  </w:pPr>
                  <w:r>
                    <w:t xml:space="preserve">basal, top, intermediate, herbivory, cannibal, TL, centrality, MaxSim</w:t>
                  </w:r>
                </w:p>
              </w:tc>
              <w:tc>
                <w:tcPr/>
                <w:p>
                  <w:pPr>
                    <w:pStyle w:val="Compact"/>
                    <w:jc w:val="center"/>
                  </w:pPr>
                  <w:r>
                    <w:t xml:space="preserve">Metrics describing individual species and their roles in the network, including trophic position (TL), feeding type (basal, herbivory, cannibal), influence (centrality), and functional redundancy (MaxSim).</w:t>
                  </w:r>
                </w:p>
              </w:tc>
            </w:tr>
            <w:tr>
              <w:tc>
                <w:tcPr/>
                <w:p>
                  <w:pPr>
                    <w:pStyle w:val="Compact"/>
                    <w:jc w:val="center"/>
                  </w:pPr>
                  <w:r>
                    <w:t xml:space="preserve">Path level</w:t>
                  </w:r>
                </w:p>
              </w:tc>
              <w:tc>
                <w:tcPr/>
                <w:p>
                  <w:pPr>
                    <w:pStyle w:val="Compact"/>
                    <w:jc w:val="center"/>
                  </w:pPr>
                  <w:r>
                    <w:t xml:space="preserve">ChLen, ChSD, ChNum, path, S1, S2, S4, S5, omnivory, loops, predpreyRatio, distance</w:t>
                  </w:r>
                </w:p>
              </w:tc>
              <w:tc>
                <w:tcPr/>
                <w:p>
                  <w:pPr>
                    <w:pStyle w:val="Compact"/>
                    <w:jc w:val="center"/>
                  </w:pPr>
                  <w:r>
                    <w:t xml:space="preserve">Metrics describing energy flow or interaction paths through the network, including food chain lengths, motifs, omnivory, loops, and prey-predator ratios. Capture how energy and interactions move across nodes.</w:t>
                  </w:r>
                </w:p>
              </w:tc>
            </w:tr>
            <w:tr>
              <w:tc>
                <w:tcPr/>
                <w:p>
                  <w:pPr>
                    <w:pStyle w:val="Compact"/>
                    <w:jc w:val="center"/>
                  </w:pPr>
                  <w:r>
                    <w:t xml:space="preserve">Geometry/topology</w:t>
                  </w:r>
                </w:p>
              </w:tc>
              <w:tc>
                <w:tcPr/>
                <w:p>
                  <w:pPr>
                    <w:pStyle w:val="Compact"/>
                    <w:jc w:val="center"/>
                  </w:pPr>
                  <w:r>
                    <w:t xml:space="preserve">connectance, l_S, links, richness, Clust, GenSD, VulSD, LinkSD, diameter, intervals</w:t>
                  </w:r>
                </w:p>
              </w:tc>
              <w:tc>
                <w:tcPr/>
                <w:p>
                  <w:pPr>
                    <w:pStyle w:val="Compact"/>
                    <w:jc w:val="center"/>
                  </w:pPr>
                  <w:r>
                    <w:t xml:space="preserve">Metrics describing </w:t>
                  </w:r>
                  <w:r>
                    <w:rPr>
                      <w:b/>
                      <w:bCs/>
                    </w:rPr>
                    <w:t xml:space="preserve">overall network structure</w:t>
                  </w:r>
                  <w:r>
                    <w:t xml:space="preserve">, including density (connectance, links, L/S), size (richness), local clustering, link asymmetry, network distances (diameter), and niche structure (intervals). Capture the ‘shape’ of the network.</w:t>
                  </w:r>
                </w:p>
              </w:tc>
            </w:tr>
            <w:tr>
              <w:tc>
                <w:tcPr/>
                <w:p>
                  <w:pPr>
                    <w:pStyle w:val="Compact"/>
                    <w:jc w:val="center"/>
                  </w:pPr>
                  <w:r>
                    <w:t xml:space="preserve">Behaviour/system-level</w:t>
                  </w:r>
                </w:p>
              </w:tc>
              <w:tc>
                <w:tcPr/>
                <w:p>
                  <w:pPr>
                    <w:pStyle w:val="Compact"/>
                    <w:jc w:val="center"/>
                  </w:pPr>
                  <w:r>
                    <w:t xml:space="preserve">ρ, complexity, robustness</w:t>
                  </w:r>
                </w:p>
              </w:tc>
              <w:tc>
                <w:tcPr/>
                <w:p>
                  <w:pPr>
                    <w:pStyle w:val="Compact"/>
                    <w:jc w:val="center"/>
                  </w:pPr>
                  <w:r>
                    <w:t xml:space="preserve">Metrics describing emergent properties of the network, including system-wide stability, resilience, and structural complexity. Capture how the network responds to perturbations or organizes itself at a global level.</w:t>
                  </w:r>
                </w:p>
              </w:tc>
            </w:tr>
          </w:tbl>
          <w:bookmarkEnd w:id="71"/>
          <w:p/>
        </w:tc>
      </w:tr>
    </w:tbl>
    <w:bookmarkEnd w:id="72"/>
    <w:bookmarkStart w:id="108" w:name="references"/>
    <w:p>
      <w:pPr>
        <w:pStyle w:val="Heading1"/>
      </w:pPr>
      <w:r>
        <w:t xml:space="preserve">References</w:t>
      </w:r>
    </w:p>
    <w:bookmarkStart w:id="107" w:name="refs"/>
    <w:bookmarkStart w:id="74" w:name="X364e9e1ae4fcdffd15c6495ab47a85eeafc0b8c"/>
    <w:p>
      <w:pPr>
        <w:pStyle w:val="Bibliography"/>
      </w:pPr>
      <w:r>
        <w:t xml:space="preserve">1.</w:t>
      </w:r>
      <w:r>
        <w:t xml:space="preserve"> </w:t>
      </w:r>
      <w:r>
        <w:t xml:space="preserve">	</w:t>
      </w:r>
      <w:r>
        <w:t xml:space="preserve">Stouffer, D.B. and Bascompte, J. (2011)</w:t>
      </w:r>
      <w:r>
        <w:t xml:space="preserve"> </w:t>
      </w:r>
      <w:hyperlink r:id="rId73">
        <w:r>
          <w:rPr>
            <w:rStyle w:val="Hyperlink"/>
          </w:rPr>
          <w:t xml:space="preserve">Compartmentalization increases food-web persistence</w:t>
        </w:r>
      </w:hyperlink>
      <w:r>
        <w:t xml:space="preserve">.</w:t>
      </w:r>
      <w:r>
        <w:t xml:space="preserve"> </w:t>
      </w:r>
      <w:r>
        <w:rPr>
          <w:i/>
          <w:iCs/>
        </w:rPr>
        <w:t xml:space="preserve">Proc Natl Acad Sci U S A</w:t>
      </w:r>
      <w:r>
        <w:t xml:space="preserve"> </w:t>
      </w:r>
      <w:r>
        <w:t xml:space="preserve">108, 3648–3652</w:t>
      </w:r>
    </w:p>
    <w:bookmarkEnd w:id="74"/>
    <w:bookmarkStart w:id="76" w:name="ref-thompsonFoodWebsReconciling2012"/>
    <w:p>
      <w:pPr>
        <w:pStyle w:val="Bibliography"/>
      </w:pPr>
      <w:r>
        <w:t xml:space="preserve">2.</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75">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76"/>
    <w:bookmarkStart w:id="78" w:name="ref-lauEcologicalNetworkMetrics2017"/>
    <w:p>
      <w:pPr>
        <w:pStyle w:val="Bibliography"/>
      </w:pPr>
      <w:r>
        <w:t xml:space="preserve">3.</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77">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78"/>
    <w:bookmarkStart w:id="80" w:name="ref-vermaatMajorDimensionsFoodweb2009"/>
    <w:p>
      <w:pPr>
        <w:pStyle w:val="Bibliography"/>
      </w:pPr>
      <w:r>
        <w:t xml:space="preserve">4.</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79">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80"/>
    <w:bookmarkStart w:id="82" w:name="ref-williamsLimitsTrophicLevels2004"/>
    <w:p>
      <w:pPr>
        <w:pStyle w:val="Bibliography"/>
      </w:pPr>
      <w:r>
        <w:t xml:space="preserve">5.</w:t>
      </w:r>
      <w:r>
        <w:t xml:space="preserve"> </w:t>
      </w:r>
      <w:r>
        <w:t xml:space="preserve">	</w:t>
      </w:r>
      <w:r>
        <w:t xml:space="preserve">Williams, R.J. and Martinez, N.D. (2004)</w:t>
      </w:r>
      <w:r>
        <w:t xml:space="preserve"> </w:t>
      </w:r>
      <w:hyperlink r:id="rId81">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82"/>
    <w:bookmarkStart w:id="84" w:name="X781f7e482417d8f33d808967da8cf24a047c245"/>
    <w:p>
      <w:pPr>
        <w:pStyle w:val="Bibliography"/>
      </w:pPr>
      <w:r>
        <w:t xml:space="preserve">6.</w:t>
      </w:r>
      <w:r>
        <w:t xml:space="preserve"> </w:t>
      </w:r>
      <w:r>
        <w:t xml:space="preserve">	</w:t>
      </w:r>
      <w:r>
        <w:t xml:space="preserve">Yodzis, P. and Winemiller, K.O. (1999)</w:t>
      </w:r>
      <w:r>
        <w:t xml:space="preserve"> </w:t>
      </w:r>
      <w:hyperlink r:id="rId83">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84"/>
    <w:bookmarkStart w:id="86" w:name="ref-estradaUsingNetworkCentrality2008"/>
    <w:p>
      <w:pPr>
        <w:pStyle w:val="Bibliography"/>
      </w:pPr>
      <w:r>
        <w:t xml:space="preserve">7.</w:t>
      </w:r>
      <w:r>
        <w:t xml:space="preserve"> </w:t>
      </w:r>
      <w:r>
        <w:t xml:space="preserve">	</w:t>
      </w:r>
      <w:r>
        <w:t xml:space="preserve">Estrada, E. and Bodin, Ö. (2008)</w:t>
      </w:r>
      <w:r>
        <w:t xml:space="preserve"> </w:t>
      </w:r>
      <w:hyperlink r:id="rId85">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86"/>
    <w:bookmarkStart w:id="88" w:name="ref-mccannDiversityStabilityDebate2000"/>
    <w:p>
      <w:pPr>
        <w:pStyle w:val="Bibliography"/>
      </w:pPr>
      <w:r>
        <w:t xml:space="preserve">8.</w:t>
      </w:r>
      <w:r>
        <w:t xml:space="preserve"> </w:t>
      </w:r>
      <w:r>
        <w:t xml:space="preserve">	</w:t>
      </w:r>
      <w:r>
        <w:t xml:space="preserve">McCann, K.S. (2000)</w:t>
      </w:r>
      <w:r>
        <w:t xml:space="preserve"> </w:t>
      </w:r>
      <w:hyperlink r:id="rId87">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88"/>
    <w:bookmarkStart w:id="90" w:name="X5f45a7a099d08070703fc184810d23dd2e88abd"/>
    <w:p>
      <w:pPr>
        <w:pStyle w:val="Bibliography"/>
      </w:pPr>
      <w:r>
        <w:t xml:space="preserve">9.</w:t>
      </w:r>
      <w:r>
        <w:t xml:space="preserve"> </w:t>
      </w:r>
      <w:r>
        <w:t xml:space="preserve">	</w:t>
      </w:r>
      <w:r>
        <w:t xml:space="preserve">Watts, D.J. and Strogatz, S.H. (1998)</w:t>
      </w:r>
      <w:r>
        <w:t xml:space="preserve"> </w:t>
      </w:r>
      <w:hyperlink r:id="rId89">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90"/>
    <w:bookmarkStart w:id="92" w:name="ref-stoufferRobustMeasureFood2006a"/>
    <w:p>
      <w:pPr>
        <w:pStyle w:val="Bibliography"/>
      </w:pPr>
      <w:r>
        <w:t xml:space="preserve">10.</w:t>
      </w:r>
      <w:r>
        <w:t xml:space="preserve"> </w:t>
      </w:r>
      <w:r>
        <w:t xml:space="preserve">	</w:t>
      </w:r>
      <w:r>
        <w:t xml:space="preserve">Stouffer, D.B.</w:t>
      </w:r>
      <w:r>
        <w:t xml:space="preserve"> </w:t>
      </w:r>
      <w:r>
        <w:rPr>
          <w:i/>
          <w:iCs/>
        </w:rPr>
        <w:t xml:space="preserve">et al.</w:t>
      </w:r>
      <w:r>
        <w:t xml:space="preserve"> </w:t>
      </w:r>
      <w:r>
        <w:t xml:space="preserve">(2006)</w:t>
      </w:r>
      <w:r>
        <w:t xml:space="preserve"> </w:t>
      </w:r>
      <w:hyperlink r:id="rId91">
        <w:r>
          <w:rPr>
            <w:rStyle w:val="Hyperlink"/>
          </w:rPr>
          <w:t xml:space="preserve">A robust measure of food web intervality</w:t>
        </w:r>
      </w:hyperlink>
      <w:r>
        <w:t xml:space="preserve">.</w:t>
      </w:r>
      <w:r>
        <w:t xml:space="preserve"> </w:t>
      </w:r>
      <w:r>
        <w:rPr>
          <w:i/>
          <w:iCs/>
        </w:rPr>
        <w:t xml:space="preserve">Proc. Natl. Acad. Sci. U.S.A.</w:t>
      </w:r>
      <w:r>
        <w:t xml:space="preserve"> </w:t>
      </w:r>
      <w:r>
        <w:t xml:space="preserve">103, 19015–19020</w:t>
      </w:r>
    </w:p>
    <w:bookmarkEnd w:id="92"/>
    <w:bookmarkStart w:id="94" w:name="ref-strydomSVDEntropyReveals2021"/>
    <w:p>
      <w:pPr>
        <w:pStyle w:val="Bibliography"/>
      </w:pPr>
      <w:r>
        <w:t xml:space="preserve">11.</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93">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94"/>
    <w:bookmarkStart w:id="96" w:name="ref-jonssonReliabilityR50Measure2015"/>
    <w:p>
      <w:pPr>
        <w:pStyle w:val="Bibliography"/>
      </w:pPr>
      <w:r>
        <w:t xml:space="preserve">12.</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95">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96"/>
    <w:bookmarkStart w:id="98" w:name="ref-stoufferEvidenceExistenceRobust2007"/>
    <w:p>
      <w:pPr>
        <w:pStyle w:val="Bibliography"/>
      </w:pPr>
      <w:r>
        <w:t xml:space="preserve">13.</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97">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98"/>
    <w:bookmarkStart w:id="100" w:name="ref-miloNetworkMotifsSimple2002"/>
    <w:p>
      <w:pPr>
        <w:pStyle w:val="Bibliography"/>
      </w:pPr>
      <w:r>
        <w:t xml:space="preserve">14.</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99">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100"/>
    <w:bookmarkStart w:id="102" w:name="ref-dunneFoodwebStructureNetwork2002"/>
    <w:p>
      <w:pPr>
        <w:pStyle w:val="Bibliography"/>
      </w:pPr>
      <w:r>
        <w:t xml:space="preserve">15.</w:t>
      </w:r>
      <w:r>
        <w:t xml:space="preserve"> </w:t>
      </w:r>
      <w:r>
        <w:t xml:space="preserve">	</w:t>
      </w:r>
      <w:r>
        <w:t xml:space="preserve">Dunne, J.A.</w:t>
      </w:r>
      <w:r>
        <w:t xml:space="preserve"> </w:t>
      </w:r>
      <w:r>
        <w:rPr>
          <w:i/>
          <w:iCs/>
        </w:rPr>
        <w:t xml:space="preserve">et al.</w:t>
      </w:r>
      <w:r>
        <w:t xml:space="preserve"> </w:t>
      </w:r>
      <w:r>
        <w:t xml:space="preserve">(2002)</w:t>
      </w:r>
      <w:r>
        <w:t xml:space="preserve"> </w:t>
      </w:r>
      <w:hyperlink r:id="rId101">
        <w:r>
          <w:rPr>
            <w:rStyle w:val="Hyperlink"/>
          </w:rPr>
          <w:t xml:space="preserve">Food-web structure and network theory:</w:t>
        </w:r>
        <w:r>
          <w:rPr>
            <w:rStyle w:val="Hyperlink"/>
          </w:rPr>
          <w:t xml:space="preserve"> </w:t>
        </w:r>
        <w:r>
          <w:rPr>
            <w:rStyle w:val="Hyperlink"/>
          </w:rPr>
          <w:t xml:space="preserve">The</w:t>
        </w:r>
        <w:r>
          <w:rPr>
            <w:rStyle w:val="Hyperlink"/>
          </w:rPr>
          <w:t xml:space="preserve"> </w:t>
        </w:r>
        <w:r>
          <w:rPr>
            <w:rStyle w:val="Hyperlink"/>
          </w:rPr>
          <w:t xml:space="preserve">role of connectance and size</w:t>
        </w:r>
      </w:hyperlink>
      <w:r>
        <w:t xml:space="preserve">.</w:t>
      </w:r>
      <w:r>
        <w:t xml:space="preserve"> </w:t>
      </w:r>
      <w:r>
        <w:rPr>
          <w:i/>
          <w:iCs/>
        </w:rPr>
        <w:t xml:space="preserve">PNAS</w:t>
      </w:r>
      <w:r>
        <w:t xml:space="preserve"> </w:t>
      </w:r>
      <w:r>
        <w:t xml:space="preserve">99, 12917–12922</w:t>
      </w:r>
    </w:p>
    <w:bookmarkEnd w:id="102"/>
    <w:bookmarkStart w:id="104" w:name="ref-neutelStabilityRealFood2002"/>
    <w:p>
      <w:pPr>
        <w:pStyle w:val="Bibliography"/>
      </w:pPr>
      <w:r>
        <w:t xml:space="preserve">16.</w:t>
      </w:r>
      <w:r>
        <w:t xml:space="preserve"> </w:t>
      </w:r>
      <w:r>
        <w:t xml:space="preserve">	</w:t>
      </w:r>
      <w:r>
        <w:t xml:space="preserve">Neutel, A.-M.</w:t>
      </w:r>
      <w:r>
        <w:t xml:space="preserve"> </w:t>
      </w:r>
      <w:r>
        <w:rPr>
          <w:i/>
          <w:iCs/>
        </w:rPr>
        <w:t xml:space="preserve">et al.</w:t>
      </w:r>
      <w:r>
        <w:t xml:space="preserve"> </w:t>
      </w:r>
      <w:r>
        <w:t xml:space="preserve">(2002)</w:t>
      </w:r>
      <w:r>
        <w:t xml:space="preserve"> </w:t>
      </w:r>
      <w:hyperlink r:id="rId103">
        <w:r>
          <w:rPr>
            <w:rStyle w:val="Hyperlink"/>
          </w:rPr>
          <w:t xml:space="preserve">Stability in</w:t>
        </w:r>
        <w:r>
          <w:rPr>
            <w:rStyle w:val="Hyperlink"/>
          </w:rPr>
          <w:t xml:space="preserve"> </w:t>
        </w:r>
        <w:r>
          <w:rPr>
            <w:rStyle w:val="Hyperlink"/>
          </w:rPr>
          <w:t xml:space="preserve">Real Food Webs</w:t>
        </w:r>
        <w:r>
          <w:rPr>
            <w:rStyle w:val="Hyperlink"/>
          </w:rPr>
          <w:t xml:space="preserve">:</w:t>
        </w:r>
        <w:r>
          <w:rPr>
            <w:rStyle w:val="Hyperlink"/>
          </w:rPr>
          <w:t xml:space="preserve"> </w:t>
        </w:r>
        <w:r>
          <w:rPr>
            <w:rStyle w:val="Hyperlink"/>
          </w:rPr>
          <w:t xml:space="preserve">Weak Links</w:t>
        </w:r>
        <w:r>
          <w:rPr>
            <w:rStyle w:val="Hyperlink"/>
          </w:rPr>
          <w:t xml:space="preserve"> </w:t>
        </w:r>
        <w:r>
          <w:rPr>
            <w:rStyle w:val="Hyperlink"/>
          </w:rPr>
          <w:t xml:space="preserve">in</w:t>
        </w:r>
        <w:r>
          <w:rPr>
            <w:rStyle w:val="Hyperlink"/>
          </w:rPr>
          <w:t xml:space="preserve"> </w:t>
        </w:r>
        <w:r>
          <w:rPr>
            <w:rStyle w:val="Hyperlink"/>
          </w:rPr>
          <w:t xml:space="preserve">Long Loops</w:t>
        </w:r>
      </w:hyperlink>
      <w:r>
        <w:t xml:space="preserve">.</w:t>
      </w:r>
      <w:r>
        <w:t xml:space="preserve"> </w:t>
      </w:r>
      <w:r>
        <w:rPr>
          <w:i/>
          <w:iCs/>
        </w:rPr>
        <w:t xml:space="preserve">Science</w:t>
      </w:r>
      <w:r>
        <w:t xml:space="preserve"> </w:t>
      </w:r>
      <w:r>
        <w:t xml:space="preserve">296, 1120–1123</w:t>
      </w:r>
    </w:p>
    <w:bookmarkEnd w:id="104"/>
    <w:bookmarkStart w:id="106" w:name="Xd412d50b01317b0aa54d10c40af293c2515ab19"/>
    <w:p>
      <w:pPr>
        <w:pStyle w:val="Bibliography"/>
      </w:pPr>
      <w:r>
        <w:t xml:space="preserve">17.</w:t>
      </w:r>
      <w:r>
        <w:t xml:space="preserve"> </w:t>
      </w:r>
      <w:r>
        <w:t xml:space="preserve">	</w:t>
      </w:r>
      <w:r>
        <w:t xml:space="preserve">Ulanowicz, R.E. (2001)</w:t>
      </w:r>
      <w:r>
        <w:t xml:space="preserve"> </w:t>
      </w:r>
      <w:hyperlink r:id="rId105">
        <w:r>
          <w:rPr>
            <w:rStyle w:val="Hyperlink"/>
          </w:rPr>
          <w:t xml:space="preserve">Information theory in ecology</w:t>
        </w:r>
      </w:hyperlink>
      <w:r>
        <w:t xml:space="preserve">.</w:t>
      </w:r>
      <w:r>
        <w:t xml:space="preserve"> </w:t>
      </w:r>
      <w:r>
        <w:rPr>
          <w:i/>
          <w:iCs/>
        </w:rPr>
        <w:t xml:space="preserve">Computers &amp; Chemistry</w:t>
      </w:r>
      <w:r>
        <w:t xml:space="preserve"> </w:t>
      </w:r>
      <w:r>
        <w:t xml:space="preserve">25, 393–399</w:t>
      </w:r>
    </w:p>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44" Target="media/rId44.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56" Target="media/rId56.png" /><Relationship Type="http://schemas.openxmlformats.org/officeDocument/2006/relationships/image" Id="rId49" Target="media/rId49.png" /><Relationship Type="http://schemas.openxmlformats.org/officeDocument/2006/relationships/hyperlink" Id="rId77" Target="https://doi.org/10.1002/ecs2.1900" TargetMode="External" /><Relationship Type="http://schemas.openxmlformats.org/officeDocument/2006/relationships/hyperlink" Id="rId105" Target="https://doi.org/10.1016/S0097-8485(01)00073-0" TargetMode="External" /><Relationship Type="http://schemas.openxmlformats.org/officeDocument/2006/relationships/hyperlink" Id="rId75" Target="https://doi.org/10.1016/j.tree.2012.08.005" TargetMode="External" /><Relationship Type="http://schemas.openxmlformats.org/officeDocument/2006/relationships/hyperlink" Id="rId89" Target="https://doi.org/10.1038/30918" TargetMode="External" /><Relationship Type="http://schemas.openxmlformats.org/officeDocument/2006/relationships/hyperlink" Id="rId87" Target="https://doi.org/10.1038/35012234" TargetMode="External" /><Relationship Type="http://schemas.openxmlformats.org/officeDocument/2006/relationships/hyperlink" Id="rId91" Target="https://doi.org/10.1073/pnas.0603844103" TargetMode="External" /><Relationship Type="http://schemas.openxmlformats.org/officeDocument/2006/relationships/hyperlink" Id="rId73" Target="https://doi.org/10.1073/pnas.1014353108" TargetMode="External" /><Relationship Type="http://schemas.openxmlformats.org/officeDocument/2006/relationships/hyperlink" Id="rId101" Target="https://doi.org/10.1073/pnas.192407699" TargetMode="External" /><Relationship Type="http://schemas.openxmlformats.org/officeDocument/2006/relationships/hyperlink" Id="rId81" Target="https://doi.org/10.1086/381964" TargetMode="External" /><Relationship Type="http://schemas.openxmlformats.org/officeDocument/2006/relationships/hyperlink" Id="rId97" Target="https://doi.org/10.1098/rspb.2007.0571" TargetMode="External" /><Relationship Type="http://schemas.openxmlformats.org/officeDocument/2006/relationships/hyperlink" Id="rId95" Target="https://doi.org/10.1111/oik.01588" TargetMode="External" /><Relationship Type="http://schemas.openxmlformats.org/officeDocument/2006/relationships/hyperlink" Id="rId103" Target="https://doi.org/10.1126/science.1068326" TargetMode="External" /><Relationship Type="http://schemas.openxmlformats.org/officeDocument/2006/relationships/hyperlink" Id="rId99" Target="https://doi.org/10.1126/science.298.5594.824" TargetMode="External" /><Relationship Type="http://schemas.openxmlformats.org/officeDocument/2006/relationships/hyperlink" Id="rId79" Target="https://doi.org/10.1890/07-0978.1" TargetMode="External" /><Relationship Type="http://schemas.openxmlformats.org/officeDocument/2006/relationships/hyperlink" Id="rId85" Target="https://doi.org/10.1890/07-1419.1" TargetMode="External" /><Relationship Type="http://schemas.openxmlformats.org/officeDocument/2006/relationships/hyperlink" Id="rId83" Target="https://doi.org/10.2307/3546748" TargetMode="External" /><Relationship Type="http://schemas.openxmlformats.org/officeDocument/2006/relationships/hyperlink" Id="rId93"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2/ecs2.1900" TargetMode="External" /><Relationship Type="http://schemas.openxmlformats.org/officeDocument/2006/relationships/hyperlink" Id="rId105" Target="https://doi.org/10.1016/S0097-8485(01)00073-0" TargetMode="External" /><Relationship Type="http://schemas.openxmlformats.org/officeDocument/2006/relationships/hyperlink" Id="rId75" Target="https://doi.org/10.1016/j.tree.2012.08.005" TargetMode="External" /><Relationship Type="http://schemas.openxmlformats.org/officeDocument/2006/relationships/hyperlink" Id="rId89" Target="https://doi.org/10.1038/30918" TargetMode="External" /><Relationship Type="http://schemas.openxmlformats.org/officeDocument/2006/relationships/hyperlink" Id="rId87" Target="https://doi.org/10.1038/35012234" TargetMode="External" /><Relationship Type="http://schemas.openxmlformats.org/officeDocument/2006/relationships/hyperlink" Id="rId91" Target="https://doi.org/10.1073/pnas.0603844103" TargetMode="External" /><Relationship Type="http://schemas.openxmlformats.org/officeDocument/2006/relationships/hyperlink" Id="rId73" Target="https://doi.org/10.1073/pnas.1014353108" TargetMode="External" /><Relationship Type="http://schemas.openxmlformats.org/officeDocument/2006/relationships/hyperlink" Id="rId101" Target="https://doi.org/10.1073/pnas.192407699" TargetMode="External" /><Relationship Type="http://schemas.openxmlformats.org/officeDocument/2006/relationships/hyperlink" Id="rId81" Target="https://doi.org/10.1086/381964" TargetMode="External" /><Relationship Type="http://schemas.openxmlformats.org/officeDocument/2006/relationships/hyperlink" Id="rId97" Target="https://doi.org/10.1098/rspb.2007.0571" TargetMode="External" /><Relationship Type="http://schemas.openxmlformats.org/officeDocument/2006/relationships/hyperlink" Id="rId95" Target="https://doi.org/10.1111/oik.01588" TargetMode="External" /><Relationship Type="http://schemas.openxmlformats.org/officeDocument/2006/relationships/hyperlink" Id="rId103" Target="https://doi.org/10.1126/science.1068326" TargetMode="External" /><Relationship Type="http://schemas.openxmlformats.org/officeDocument/2006/relationships/hyperlink" Id="rId99" Target="https://doi.org/10.1126/science.298.5594.824" TargetMode="External" /><Relationship Type="http://schemas.openxmlformats.org/officeDocument/2006/relationships/hyperlink" Id="rId79" Target="https://doi.org/10.1890/07-0978.1" TargetMode="External" /><Relationship Type="http://schemas.openxmlformats.org/officeDocument/2006/relationships/hyperlink" Id="rId85" Target="https://doi.org/10.1890/07-1419.1" TargetMode="External" /><Relationship Type="http://schemas.openxmlformats.org/officeDocument/2006/relationships/hyperlink" Id="rId83" Target="https://doi.org/10.2307/3546748" TargetMode="External" /><Relationship Type="http://schemas.openxmlformats.org/officeDocument/2006/relationships/hyperlink" Id="rId93"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dimensions of network structure underlie ecological stability</dc:title>
  <dc:creator>Tanya Strydom; Andrew P. Beckerman</dc:creator>
  <cp:keywords>food web, structure, dimensionality reduction</cp:keywords>
  <dcterms:created xsi:type="dcterms:W3CDTF">2026-03-04T20:05:07Z</dcterms:created>
  <dcterms:modified xsi:type="dcterms:W3CDTF">2026-03-04T20:05:07Z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 ‘stability’ 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2026-03-04</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