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2026-03-03</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17"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w:t>
      </w:r>
      <w:r>
        <w:t xml:space="preserve"> </w:t>
      </w:r>
      <w:r>
        <w:t xml:space="preserve">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End w:id="17"/>
    <w:bookmarkStart w:id="34" w:name="results"/>
    <w:p>
      <w:pPr>
        <w:pStyle w:val="Heading1"/>
      </w:pPr>
      <w:r>
        <w:t xml:space="preserve">3. Results</w:t>
      </w:r>
    </w:p>
    <w:bookmarkStart w:id="22"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1" w:name="fig-cluster"/>
          <w:p>
            <w:pPr>
              <w:pStyle w:val="Compact"/>
              <w:jc w:val="center"/>
            </w:pPr>
            <w:r>
              <w:drawing>
                <wp:inline>
                  <wp:extent cx="5334000" cy="2667000"/>
                  <wp:effectExtent b="0" l="0" r="0" t="0"/>
                  <wp:docPr descr="" title="" id="19" name="Picture"/>
                  <a:graphic>
                    <a:graphicData uri="http://schemas.openxmlformats.org/drawingml/2006/picture">
                      <pic:pic>
                        <pic:nvPicPr>
                          <pic:cNvPr descr="figures/cluster_dendrogram.png" id="20" name="Picture"/>
                          <pic:cNvPicPr>
                            <a:picLocks noChangeArrowheads="1" noChangeAspect="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1"/>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2"/>
    <w:bookmarkStart w:id="24"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3"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1083"/>
              <w:gridCol w:w="1333"/>
              <w:gridCol w:w="2167"/>
              <w:gridCol w:w="2334"/>
              <w:gridCol w:w="100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c>
                <w:tcPr/>
                <w:p>
                  <w:pPr>
                    <w:pStyle w:val="Compact"/>
                    <w:jc w:val="center"/>
                  </w:pPr>
                  <w:r>
                    <w:t xml:space="preserve">Robustness (Silhouette / AU)</w:t>
                  </w:r>
                </w:p>
              </w:tc>
              <w:tc>
                <w:tcPr/>
                <w:p>
                  <w:pPr>
                    <w:pStyle w:val="Compact"/>
                    <w:jc w:val="center"/>
                  </w:pPr>
                  <w:r>
                    <w:t xml:space="preserve">Module Size</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c>
                <w:tcPr/>
                <w:p>
                  <w:pPr>
                    <w:pStyle w:val="Compact"/>
                  </w:pPr>
                </w:p>
              </w:tc>
              <w:tc>
                <w:tcPr/>
                <w:p>
                  <w:pPr>
                    <w:pStyle w:val="Compact"/>
                  </w:pP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c>
                <w:tcPr/>
                <w:p>
                  <w:pPr>
                    <w:pStyle w:val="Compact"/>
                  </w:pPr>
                </w:p>
              </w:tc>
              <w:tc>
                <w:tcPr/>
                <w:p>
                  <w:pPr>
                    <w:pStyle w:val="Compact"/>
                  </w:pP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c>
                <w:tcPr/>
                <w:p>
                  <w:pPr>
                    <w:pStyle w:val="Compact"/>
                  </w:pPr>
                </w:p>
              </w:tc>
              <w:tc>
                <w:tcPr/>
                <w:p>
                  <w:pPr>
                    <w:pStyle w:val="Compact"/>
                  </w:pP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c>
                <w:tcPr/>
                <w:p>
                  <w:pPr>
                    <w:pStyle w:val="Compact"/>
                  </w:pPr>
                </w:p>
              </w:tc>
              <w:tc>
                <w:tcPr/>
                <w:p>
                  <w:pPr>
                    <w:pStyle w:val="Compact"/>
                  </w:pP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c>
                <w:tcPr/>
                <w:p>
                  <w:pPr>
                    <w:pStyle w:val="Compact"/>
                  </w:pPr>
                </w:p>
              </w:tc>
              <w:tc>
                <w:tcPr/>
                <w:p>
                  <w:pPr>
                    <w:pStyle w:val="Compact"/>
                  </w:pP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c>
                <w:tcPr/>
                <w:p>
                  <w:pPr>
                    <w:pStyle w:val="Compact"/>
                  </w:pPr>
                </w:p>
              </w:tc>
              <w:tc>
                <w:tcPr/>
                <w:p>
                  <w:pPr>
                    <w:pStyle w:val="Compact"/>
                  </w:pP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c>
                <w:tcPr/>
                <w:p>
                  <w:pPr>
                    <w:pStyle w:val="Compact"/>
                  </w:pPr>
                </w:p>
              </w:tc>
              <w:tc>
                <w:tcPr/>
                <w:p>
                  <w:pPr>
                    <w:pStyle w:val="Compact"/>
                  </w:pPr>
                </w:p>
              </w:tc>
            </w:tr>
          </w:tbl>
          <w:bookmarkEnd w:id="23"/>
          <w:p/>
        </w:tc>
      </w:tr>
    </w:tbl>
    <w:bookmarkEnd w:id="24"/>
    <w:bookmarkStart w:id="33"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28" w:name="fig-pca"/>
          <w:p>
            <w:pPr>
              <w:pStyle w:val="Compact"/>
              <w:jc w:val="center"/>
            </w:pPr>
            <w:r>
              <w:drawing>
                <wp:inline>
                  <wp:extent cx="5334000" cy="3200400"/>
                  <wp:effectExtent b="0" l="0" r="0" t="0"/>
                  <wp:docPr descr="" title="" id="26" name="Picture"/>
                  <a:graphic>
                    <a:graphicData uri="http://schemas.openxmlformats.org/drawingml/2006/picture">
                      <pic:pic>
                        <pic:nvPicPr>
                          <pic:cNvPr descr="figures/pca_loadings.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28"/>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2" w:name="fig-alignment_heatmap"/>
          <w:p>
            <w:pPr>
              <w:pStyle w:val="Compact"/>
              <w:jc w:val="center"/>
            </w:pPr>
            <w:r>
              <w:drawing>
                <wp:inline>
                  <wp:extent cx="5334000" cy="2667000"/>
                  <wp:effectExtent b="0" l="0" r="0" t="0"/>
                  <wp:docPr descr="" title="" id="30" name="Picture"/>
                  <a:graphic>
                    <a:graphicData uri="http://schemas.openxmlformats.org/drawingml/2006/picture">
                      <pic:pic>
                        <pic:nvPicPr>
                          <pic:cNvPr descr="figures/module_alignment_heatmap.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2"/>
        </w:tc>
      </w:tr>
    </w:tbl>
    <w:p>
      <w:pPr>
        <w:pStyle w:val="BodyText"/>
      </w:pPr>
      <w:r>
        <w:t xml:space="preserve">The global permutation test indicated significant alignment between modules and principal components (P = 0.005), demonstrating that the observed modular partition explains the multivariate geometry of structural metrics better than randomly assigned modules. Module 1 exhibited the strongest and most extensive alignment with principal components, showing significant associations across seven axes and with its strongest alignment occurring on PC1. This module therefore contributes substantially to the dominant structural gradient and captures variation associated with network size and connectivity. Module 3 showed significant alignment with four principal components, with its strongest association on PC4, suggesting that it captures structural variation orthogonal to the primary complexity gradient. Modules 2, 4, 5, 6, and 7 displayed more limited alignment, each showing significance with fewer principal components. Notably, Module 2 aligned most strongly with a later principal component (PC19), indicating that it captures a more subtle structural axis that contributes modestly to overall variance but remains statistically distinct from random expectation. Across modules, significant alignments were concentrated in a subset of principal components, reinforcing the interpretation that modular structure maps onto specific structural gradients rather than uniformly spanning the full multivariate space.</w:t>
      </w:r>
    </w:p>
    <w:p>
      <w:pPr>
        <w:pStyle w:val="BlockText"/>
      </w:pPr>
      <w:r>
        <w:t xml:space="preserve">I have an idea for this result…</w:t>
      </w:r>
    </w:p>
    <w:p>
      <w:pPr>
        <w:pStyle w:val="FirstParagraph"/>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33"/>
    <w:bookmarkEnd w:id="34"/>
    <w:bookmarkStart w:id="41" w:name="discussion"/>
    <w:p>
      <w:pPr>
        <w:pStyle w:val="Heading1"/>
      </w:pPr>
      <w:r>
        <w:t xml:space="preserve">4. Discussion</w:t>
      </w:r>
    </w:p>
    <w:bookmarkStart w:id="35"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35"/>
    <w:bookmarkStart w:id="36"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36"/>
    <w:bookmarkStart w:id="37"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37"/>
    <w:bookmarkStart w:id="38"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38"/>
    <w:bookmarkStart w:id="39"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39"/>
    <w:bookmarkStart w:id="40"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40"/>
    <w:bookmarkEnd w:id="41"/>
    <w:bookmarkStart w:id="44"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42"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42"/>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43"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43"/>
          <w:p/>
        </w:tc>
      </w:tr>
    </w:tbl>
    <w:bookmarkEnd w:id="44"/>
    <w:bookmarkStart w:id="80" w:name="references"/>
    <w:p>
      <w:pPr>
        <w:pStyle w:val="Heading1"/>
      </w:pPr>
      <w:r>
        <w:t xml:space="preserve">References</w:t>
      </w:r>
    </w:p>
    <w:bookmarkStart w:id="79" w:name="refs"/>
    <w:bookmarkStart w:id="46" w:name="X364e9e1ae4fcdffd15c6495ab47a85eeafc0b8c"/>
    <w:p>
      <w:pPr>
        <w:pStyle w:val="Bibliography"/>
      </w:pPr>
      <w:r>
        <w:t xml:space="preserve">1.</w:t>
      </w:r>
      <w:r>
        <w:t xml:space="preserve"> </w:t>
      </w:r>
      <w:r>
        <w:t xml:space="preserve">	</w:t>
      </w:r>
      <w:r>
        <w:t xml:space="preserve">Stouffer, D.B. and Bascompte, J. (2011)</w:t>
      </w:r>
      <w:r>
        <w:t xml:space="preserve"> </w:t>
      </w:r>
      <w:hyperlink r:id="rId45">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46"/>
    <w:bookmarkStart w:id="48"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47">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48"/>
    <w:bookmarkStart w:id="50"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49">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50"/>
    <w:bookmarkStart w:id="52"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51">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52"/>
    <w:bookmarkStart w:id="54" w:name="ref-williamsLimitsTrophicLevels2004"/>
    <w:p>
      <w:pPr>
        <w:pStyle w:val="Bibliography"/>
      </w:pPr>
      <w:r>
        <w:t xml:space="preserve">5.</w:t>
      </w:r>
      <w:r>
        <w:t xml:space="preserve"> </w:t>
      </w:r>
      <w:r>
        <w:t xml:space="preserve">	</w:t>
      </w:r>
      <w:r>
        <w:t xml:space="preserve">Williams, R.J. and Martinez, N.D. (2004)</w:t>
      </w:r>
      <w:r>
        <w:t xml:space="preserve"> </w:t>
      </w:r>
      <w:hyperlink r:id="rId53">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54"/>
    <w:bookmarkStart w:id="56" w:name="X781f7e482417d8f33d808967da8cf24a047c245"/>
    <w:p>
      <w:pPr>
        <w:pStyle w:val="Bibliography"/>
      </w:pPr>
      <w:r>
        <w:t xml:space="preserve">6.</w:t>
      </w:r>
      <w:r>
        <w:t xml:space="preserve"> </w:t>
      </w:r>
      <w:r>
        <w:t xml:space="preserve">	</w:t>
      </w:r>
      <w:r>
        <w:t xml:space="preserve">Yodzis, P. and Winemiller, K.O. (1999)</w:t>
      </w:r>
      <w:r>
        <w:t xml:space="preserve"> </w:t>
      </w:r>
      <w:hyperlink r:id="rId55">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56"/>
    <w:bookmarkStart w:id="58" w:name="ref-estradaUsingNetworkCentrality2008"/>
    <w:p>
      <w:pPr>
        <w:pStyle w:val="Bibliography"/>
      </w:pPr>
      <w:r>
        <w:t xml:space="preserve">7.</w:t>
      </w:r>
      <w:r>
        <w:t xml:space="preserve"> </w:t>
      </w:r>
      <w:r>
        <w:t xml:space="preserve">	</w:t>
      </w:r>
      <w:r>
        <w:t xml:space="preserve">Estrada, E. and Bodin, Ö. (2008)</w:t>
      </w:r>
      <w:r>
        <w:t xml:space="preserve"> </w:t>
      </w:r>
      <w:hyperlink r:id="rId57">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58"/>
    <w:bookmarkStart w:id="60" w:name="ref-mccannDiversityStabilityDebate2000"/>
    <w:p>
      <w:pPr>
        <w:pStyle w:val="Bibliography"/>
      </w:pPr>
      <w:r>
        <w:t xml:space="preserve">8.</w:t>
      </w:r>
      <w:r>
        <w:t xml:space="preserve"> </w:t>
      </w:r>
      <w:r>
        <w:t xml:space="preserve">	</w:t>
      </w:r>
      <w:r>
        <w:t xml:space="preserve">McCann, K.S. (2000)</w:t>
      </w:r>
      <w:r>
        <w:t xml:space="preserve"> </w:t>
      </w:r>
      <w:hyperlink r:id="rId59">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60"/>
    <w:bookmarkStart w:id="62" w:name="X5f45a7a099d08070703fc184810d23dd2e88abd"/>
    <w:p>
      <w:pPr>
        <w:pStyle w:val="Bibliography"/>
      </w:pPr>
      <w:r>
        <w:t xml:space="preserve">9.</w:t>
      </w:r>
      <w:r>
        <w:t xml:space="preserve"> </w:t>
      </w:r>
      <w:r>
        <w:t xml:space="preserve">	</w:t>
      </w:r>
      <w:r>
        <w:t xml:space="preserve">Watts, D.J. and Strogatz, S.H. (1998)</w:t>
      </w:r>
      <w:r>
        <w:t xml:space="preserve"> </w:t>
      </w:r>
      <w:hyperlink r:id="rId61">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62"/>
    <w:bookmarkStart w:id="64"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63">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64"/>
    <w:bookmarkStart w:id="66"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65">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66"/>
    <w:bookmarkStart w:id="68"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67">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68"/>
    <w:bookmarkStart w:id="70"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69">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70"/>
    <w:bookmarkStart w:id="72"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71">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72"/>
    <w:bookmarkStart w:id="74"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73">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74"/>
    <w:bookmarkStart w:id="76"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75">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76"/>
    <w:bookmarkStart w:id="78" w:name="Xd412d50b01317b0aa54d10c40af293c2515ab19"/>
    <w:p>
      <w:pPr>
        <w:pStyle w:val="Bibliography"/>
      </w:pPr>
      <w:r>
        <w:t xml:space="preserve">17.</w:t>
      </w:r>
      <w:r>
        <w:t xml:space="preserve"> </w:t>
      </w:r>
      <w:r>
        <w:t xml:space="preserve">	</w:t>
      </w:r>
      <w:r>
        <w:t xml:space="preserve">Ulanowicz, R.E. (2001)</w:t>
      </w:r>
      <w:r>
        <w:t xml:space="preserve"> </w:t>
      </w:r>
      <w:hyperlink r:id="rId77">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9" Target="https://doi.org/10.1002/ecs2.1900" TargetMode="External" /><Relationship Type="http://schemas.openxmlformats.org/officeDocument/2006/relationships/hyperlink" Id="rId77" Target="https://doi.org/10.1016/S0097-8485(01)00073-0" TargetMode="External" /><Relationship Type="http://schemas.openxmlformats.org/officeDocument/2006/relationships/hyperlink" Id="rId47" Target="https://doi.org/10.1016/j.tree.2012.08.005" TargetMode="External" /><Relationship Type="http://schemas.openxmlformats.org/officeDocument/2006/relationships/hyperlink" Id="rId61" Target="https://doi.org/10.1038/30918" TargetMode="External" /><Relationship Type="http://schemas.openxmlformats.org/officeDocument/2006/relationships/hyperlink" Id="rId59" Target="https://doi.org/10.1038/35012234" TargetMode="External" /><Relationship Type="http://schemas.openxmlformats.org/officeDocument/2006/relationships/hyperlink" Id="rId63" Target="https://doi.org/10.1073/pnas.0603844103" TargetMode="External" /><Relationship Type="http://schemas.openxmlformats.org/officeDocument/2006/relationships/hyperlink" Id="rId45" Target="https://doi.org/10.1073/pnas.1014353108" TargetMode="External" /><Relationship Type="http://schemas.openxmlformats.org/officeDocument/2006/relationships/hyperlink" Id="rId73" Target="https://doi.org/10.1073/pnas.192407699" TargetMode="External" /><Relationship Type="http://schemas.openxmlformats.org/officeDocument/2006/relationships/hyperlink" Id="rId53" Target="https://doi.org/10.1086/381964" TargetMode="External" /><Relationship Type="http://schemas.openxmlformats.org/officeDocument/2006/relationships/hyperlink" Id="rId69" Target="https://doi.org/10.1098/rspb.2007.0571" TargetMode="External" /><Relationship Type="http://schemas.openxmlformats.org/officeDocument/2006/relationships/hyperlink" Id="rId67" Target="https://doi.org/10.1111/oik.01588" TargetMode="External" /><Relationship Type="http://schemas.openxmlformats.org/officeDocument/2006/relationships/hyperlink" Id="rId75" Target="https://doi.org/10.1126/science.1068326" TargetMode="External" /><Relationship Type="http://schemas.openxmlformats.org/officeDocument/2006/relationships/hyperlink" Id="rId71" Target="https://doi.org/10.1126/science.298.5594.824" TargetMode="External" /><Relationship Type="http://schemas.openxmlformats.org/officeDocument/2006/relationships/hyperlink" Id="rId51" Target="https://doi.org/10.1890/07-0978.1" TargetMode="External" /><Relationship Type="http://schemas.openxmlformats.org/officeDocument/2006/relationships/hyperlink" Id="rId57" Target="https://doi.org/10.1890/07-1419.1" TargetMode="External" /><Relationship Type="http://schemas.openxmlformats.org/officeDocument/2006/relationships/hyperlink" Id="rId55" Target="https://doi.org/10.2307/3546748" TargetMode="External" /><Relationship Type="http://schemas.openxmlformats.org/officeDocument/2006/relationships/hyperlink" Id="rId65"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2/ecs2.1900" TargetMode="External" /><Relationship Type="http://schemas.openxmlformats.org/officeDocument/2006/relationships/hyperlink" Id="rId77" Target="https://doi.org/10.1016/S0097-8485(01)00073-0" TargetMode="External" /><Relationship Type="http://schemas.openxmlformats.org/officeDocument/2006/relationships/hyperlink" Id="rId47" Target="https://doi.org/10.1016/j.tree.2012.08.005" TargetMode="External" /><Relationship Type="http://schemas.openxmlformats.org/officeDocument/2006/relationships/hyperlink" Id="rId61" Target="https://doi.org/10.1038/30918" TargetMode="External" /><Relationship Type="http://schemas.openxmlformats.org/officeDocument/2006/relationships/hyperlink" Id="rId59" Target="https://doi.org/10.1038/35012234" TargetMode="External" /><Relationship Type="http://schemas.openxmlformats.org/officeDocument/2006/relationships/hyperlink" Id="rId63" Target="https://doi.org/10.1073/pnas.0603844103" TargetMode="External" /><Relationship Type="http://schemas.openxmlformats.org/officeDocument/2006/relationships/hyperlink" Id="rId45" Target="https://doi.org/10.1073/pnas.1014353108" TargetMode="External" /><Relationship Type="http://schemas.openxmlformats.org/officeDocument/2006/relationships/hyperlink" Id="rId73" Target="https://doi.org/10.1073/pnas.192407699" TargetMode="External" /><Relationship Type="http://schemas.openxmlformats.org/officeDocument/2006/relationships/hyperlink" Id="rId53" Target="https://doi.org/10.1086/381964" TargetMode="External" /><Relationship Type="http://schemas.openxmlformats.org/officeDocument/2006/relationships/hyperlink" Id="rId69" Target="https://doi.org/10.1098/rspb.2007.0571" TargetMode="External" /><Relationship Type="http://schemas.openxmlformats.org/officeDocument/2006/relationships/hyperlink" Id="rId67" Target="https://doi.org/10.1111/oik.01588" TargetMode="External" /><Relationship Type="http://schemas.openxmlformats.org/officeDocument/2006/relationships/hyperlink" Id="rId75" Target="https://doi.org/10.1126/science.1068326" TargetMode="External" /><Relationship Type="http://schemas.openxmlformats.org/officeDocument/2006/relationships/hyperlink" Id="rId71" Target="https://doi.org/10.1126/science.298.5594.824" TargetMode="External" /><Relationship Type="http://schemas.openxmlformats.org/officeDocument/2006/relationships/hyperlink" Id="rId51" Target="https://doi.org/10.1890/07-0978.1" TargetMode="External" /><Relationship Type="http://schemas.openxmlformats.org/officeDocument/2006/relationships/hyperlink" Id="rId57" Target="https://doi.org/10.1890/07-1419.1" TargetMode="External" /><Relationship Type="http://schemas.openxmlformats.org/officeDocument/2006/relationships/hyperlink" Id="rId55" Target="https://doi.org/10.2307/3546748" TargetMode="External" /><Relationship Type="http://schemas.openxmlformats.org/officeDocument/2006/relationships/hyperlink" Id="rId65"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2026-03-03T13:12:11Z</dcterms:created>
  <dcterms:modified xsi:type="dcterms:W3CDTF">2026-03-03T13:12:11Z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2026-03-03</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