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5.png" ContentType="image/png"/>
  <Override PartName="/word/media/rId40.png" ContentType="image/png"/>
  <Override PartName="/word/media/rId36.png" ContentType="image/png"/>
  <Override PartName="/word/media/rId28.png" ContentType="image/png"/>
  <Override PartName="/word/media/rId69.png" ContentType="image/png"/>
  <Override PartName="/word/media/rId57.png" ContentType="image/png"/>
  <Override PartName="/word/media/rId50.png" ContentType="image/png"/>
  <Override PartName="/word/media/rId61.png" ContentType="image/png"/>
  <Override PartName="/word/media/rId6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Ecological Network Structure Is Multidimensional: Rethinking the Stability Debate</w:t>
      </w:r>
    </w:p>
    <w:p>
      <w:pPr>
        <w:pStyle w:val="Author"/>
      </w:pPr>
      <w:r>
        <w:t xml:space="preserve">Tanya Strydom</w:t>
      </w:r>
    </w:p>
    <w:p>
      <w:pPr>
        <w:pStyle w:val="Author"/>
      </w:pPr>
      <w:r>
        <w:t xml:space="preserve">Andrew P. Beckerman</w:t>
      </w:r>
    </w:p>
    <w:p>
      <w:pPr>
        <w:pStyle w:val="Date"/>
      </w:pPr>
      <w:r>
        <w:t xml:space="preserve">2026-03-10</w:t>
      </w:r>
    </w:p>
    <w:p>
      <w:pPr>
        <w:pStyle w:val="AbstractTitle"/>
      </w:pPr>
      <w:r>
        <w:t xml:space="preserve">Abstract</w:t>
      </w:r>
    </w:p>
    <w:p>
      <w:pPr>
        <w:pStyle w:val="Abstract"/>
      </w:pPr>
      <w:r>
        <w:t xml:space="preserve">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w:t>
      </w:r>
    </w:p>
    <w:bookmarkStart w:id="9"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BlockText"/>
      </w:pPr>
      <w:r>
        <w:t xml:space="preserve">Emergent property (thinking like the cool tensor work/dynamic models) vs static metrics (using one measure of structure)</w:t>
      </w:r>
    </w:p>
    <w:p>
      <w:pPr>
        <w:pStyle w:val="FirstParagraph"/>
      </w:pPr>
      <w:r>
        <w:t xml:space="preserve">Ecological networks are commonly characterised using a large and diverse set of structural metrics, yet there remains little consensus on how these metrics should be interpreted or compared across studies</w:t>
      </w:r>
      <w:r>
        <w:t xml:space="preserve"> </w:t>
      </w:r>
      <w:r>
        <w:t xml:space="preserve">[1,2]</w:t>
      </w:r>
      <w:r>
        <w:t xml:space="preserve">. Measures of connectance, trophic level, modularity, omnivory, motif structure, and many others are routinely invoked as indicators of ecosystem organisation or stability. However, these descriptors often covary strongly, capture overlapping information, or reflect different scales of network organisation. As a result, studies using different subsets of metrics frequently arrive at conflicting conclusions about the relationship between network structure and ecological stability.</w:t>
      </w:r>
    </w:p>
    <w:p>
      <w:pPr>
        <w:pStyle w:val="BodyText"/>
      </w:pPr>
      <w:r>
        <w:t xml:space="preserve">One explanation for this inconsistency is that network structure is fundamentally multidimensional. Rather than representing a single property of ecosystems, structural metrics may capture different aspects of how interactions are organised and how energy moves through ecological systems. If this is the case, then individual metrics should not be expected to provide a universal predictor of stability. Instead, they may represent distinct dimensions of structural organisation that relate to different ecological mechanisms. Despite this possibility, most studies treat structural descriptors independently or select a small subset based on convention or data availability. Relatively few attempts have been made to examine whether commonly used network metrics organise into a smaller set of coherent structural dimensions that define the underlying space of ecological network architecture.</w:t>
      </w:r>
    </w:p>
    <w:p>
      <w:pPr>
        <w:pStyle w:val="BodyText"/>
      </w:pPr>
      <w:r>
        <w:t xml:space="preserve">Ecological stability is likewise not a single property but a collection of related dynamical behaviours [Pimm 1984;</w:t>
      </w:r>
      <w:r>
        <w:t xml:space="preserve"> </w:t>
      </w:r>
      <w:r>
        <w:t xml:space="preserve">[3]</w:t>
      </w:r>
      <w:r>
        <w:t xml:space="preserve">]. Different studies have emphasised different stability components, including the persistence of species [REF], the resistance of communities to disturbance [REF], and the speed with which systems recover following perturbation [REF]. These processes reflect distinct aspects of ecosystem dynamics and may depend on different features of network structure. From an energy-flow perspective, three stability mechanisms are particularly relevant: persistence, resistance, and return. Persistence refers to the continued maintenance of energy flow and species presence following species loss or environmental change. Resistance describes the degree to which disturbances propagate through ecological interactions, potentially amplifying or dampening perturbations. Return captures the capacity of a system to reorganise and re-establish stable interaction patterns following disturbance. Because these mechanisms operate through different ecological processes, they may be expected to depend on different aspects of network architecture. Structural features related to species roles and redundancy may influence persistence, whereas properties governing interaction pathways and network organisation may affect disturbance propagation or recovery dynamics.</w:t>
      </w:r>
    </w:p>
    <w:p>
      <w:pPr>
        <w:pStyle w:val="BodyText"/>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[4]</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w:t>
      </w:r>
      <w:r>
        <w:t xml:space="preserve"> </w:t>
      </w:r>
      <w:r>
        <w:t xml:space="preserve">[5]</w:t>
      </w:r>
      <w:r>
        <w:t xml:space="preserve">. 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[2]</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BodyText"/>
      </w:pPr>
      <w:r>
        <w:t xml:space="preserve">Here we investigate whether the large number of structural metrics used to characterise food webs can be reduced to a smaller set of coherent structural dimensions, and whether these dimensions relate to different components of ecological stability. Using a compilation of empirical food webs, we quantified a broad suite of commonly used network descriptors spanning species roles, interaction pathways, and global network organisation. We first examined whether these metrics self-organise into statistically robust modules based on their covariation across ecosystems. We then evaluated how these modules align with dominant multivariate axes of structural variation. Finally, we compared alternative representations of network structure to assess how different structural dimensions relate to three stability properties: robustness to species loss, spectral radius, and structural complexity. By explicitly mapping the multivariate structure of network architecture to stability outcomes, this analysis provides a principled framework for interpreting network metrics and for selecting structural descriptors that match specific ecological questions.</w:t>
      </w:r>
    </w:p>
    <w:bookmarkEnd w:id="9"/>
    <w:bookmarkStart w:id="20" w:name="materials-methods"/>
    <w:p>
      <w:pPr>
        <w:pStyle w:val="Heading1"/>
      </w:pPr>
      <w:r>
        <w:t xml:space="preserve">2. Materials &amp; Methods</w:t>
      </w:r>
    </w:p>
    <w:bookmarkStart w:id="11"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characterized using a suite of XX structural metrics</w:t>
      </w:r>
      <w:r>
        <w:t xml:space="preserve"> </w:t>
      </w:r>
      <w:hyperlink w:anchor="tbl-properties">
        <w:r>
          <w:rPr>
            <w:rStyle w:val="Hyperlink"/>
          </w:rPr>
          <w:t xml:space="preserve">Table 1</w:t>
        </w:r>
      </w:hyperlink>
      <w:r>
        <w:t xml:space="preserve">, including classic descriptors such as richness, connectance, and modularity, as well as information-theoretic measures like spectral radius and SVD complexity.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10"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[1]</w:t>
            </w:r>
            <w:r>
              <w:t xml:space="preserve"> </w:t>
            </w:r>
            <w:r>
              <w:t xml:space="preserve">paper as well as including those that have been identified by</w:t>
            </w:r>
            <w:r>
              <w:t xml:space="preserve"> </w:t>
            </w:r>
            <w:r>
              <w:t xml:space="preserve">[4]</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[6]</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[7]</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[8]</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[9]</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[10]</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[6]</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[6]</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[11]</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[12]</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[13]</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[14]</w:t>
                  </w:r>
                  <w:r>
                    <w:t xml:space="preserve"> </w:t>
                  </w:r>
                  <w:r>
                    <w:t xml:space="preserve">[15]</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[14]</w:t>
                  </w:r>
                  <w:r>
                    <w:t xml:space="preserve"> </w:t>
                  </w:r>
                  <w:r>
                    <w:t xml:space="preserve">[15]</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[14]</w:t>
                  </w:r>
                  <w:r>
                    <w:t xml:space="preserve"> </w:t>
                  </w:r>
                  <w:r>
                    <w:t xml:space="preserve">[15]</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[14]</w:t>
                  </w:r>
                  <w:r>
                    <w:t xml:space="preserve"> </w:t>
                  </w:r>
                  <w:r>
                    <w:t xml:space="preserve">[15]</w:t>
                  </w:r>
                </w:p>
              </w:tc>
            </w:tr>
          </w:tbl>
          <w:bookmarkEnd w:id="10"/>
          <w:p/>
        </w:tc>
      </w:tr>
    </w:tbl>
    <w:bookmarkEnd w:id="11"/>
    <w:bookmarkStart w:id="12"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 If such modular organization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30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(k = 2–10)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2"/>
    <w:bookmarkStart w:id="13"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organize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standardized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 principal component</w:t>
      </w:r>
      <w:r>
        <w:t xml:space="preserve"> </w:t>
      </w:r>
      <m:oMath>
        <m:r>
          <m:t>k</m:t>
        </m:r>
      </m:oMath>
      <w:r>
        <w:t xml:space="preserve"> </w:t>
      </w:r>
      <w:r>
        <w:t xml:space="preserve">and</w:t>
      </w:r>
      <w:r>
        <w:t xml:space="preserve"> </w:t>
      </w:r>
      <m:oMath>
        <m:sSub>
          <m:e>
            <m:r>
              <m:t>A</m:t>
            </m:r>
          </m:e>
          <m:sub>
            <m:r>
              <m:t>m</m:t>
            </m:r>
            <m:r>
              <m:t>k</m:t>
            </m:r>
          </m:sub>
        </m:sSub>
      </m:oMath>
      <w:r>
        <w:t xml:space="preserve"> </w:t>
      </w:r>
      <w:r>
        <w:t xml:space="preserve">represents the fraction of variance in PC</w:t>
      </w:r>
      <w:r>
        <w:t xml:space="preserve"> </w:t>
      </w:r>
      <m:oMath>
        <m:r>
          <m:t>k</m:t>
        </m:r>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3"/>
    <w:bookmarkStart w:id="19" w:name="Xa1e356f8b4615d913aa8dbeb1055359363a4932"/>
    <w:p>
      <w:pPr>
        <w:pStyle w:val="Heading2"/>
      </w:pPr>
      <w:r>
        <w:t xml:space="preserve">2.4 Structural Metric Reduction and Representation of Network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4" w:name="identification-of-structural-domains"/>
    <w:p>
      <w:pPr>
        <w:pStyle w:val="Heading3"/>
      </w:pPr>
      <w:r>
        <w:t xml:space="preserve">2.4.1 Identification of Structural Domains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centralization, path structure). Clustering was performed using correlation-based distance, ensuring that metrics grouped together reflected shared structural information rather than raw scale. To construct a reduced predictor set from these domains, we selected a single representative metric per cluster using a medoid approach. Within each cluster, we computed the absolute correlation matrix among member metrics and defined distance as 1−∣r∣. The medoid was identified as the metric minimizing mean pairwise distance to other metrics in the cluster. This approach preserves structural diversity while minimizing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domain. Importantly, this procedure prioritizes preservation of structural domains rather than overall variance magnitude, allowing low-variance but potentially mechanistically relevant features of network topology to be retained.</w:t>
      </w:r>
    </w:p>
    <w:bookmarkEnd w:id="14"/>
    <w:bookmarkStart w:id="15" w:name="extraction-of-latent-structural-axes"/>
    <w:p>
      <w:pPr>
        <w:pStyle w:val="Heading3"/>
      </w:pPr>
      <w:r>
        <w:t xml:space="preserve">2.4.2 Extraction of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 and was treated as exploratory rather than primary.</w:t>
      </w:r>
    </w:p>
    <w:bookmarkEnd w:id="15"/>
    <w:bookmarkStart w:id="16" w:name="X47f4bec2ddbd171f48a908c5c67281cf5f30368"/>
    <w:p>
      <w:pPr>
        <w:pStyle w:val="Heading3"/>
      </w:pPr>
      <w:r>
        <w:t xml:space="preserve">2.4.3 Conceptual Contrast Between Representations</w:t>
      </w:r>
    </w:p>
    <w:p>
      <w:pPr>
        <w:pStyle w:val="FirstParagraph"/>
      </w:pPr>
      <w:r>
        <w:t xml:space="preserve">The cluster-medoid and PCA-score representations reflect different theoretical assumptions about how structure relates to stability. 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organization.</w:t>
      </w:r>
    </w:p>
    <w:bookmarkEnd w:id="16"/>
    <w:bookmarkStart w:id="18" w:name="structural-control-of-stability"/>
    <w:p>
      <w:pPr>
        <w:pStyle w:val="Heading3"/>
      </w:pPr>
      <w:r>
        <w:t xml:space="preserve">2.4.4 Structural Control of Stability</w:t>
      </w:r>
    </w:p>
    <w:p>
      <w:pPr>
        <w:pStyle w:val="FirstParagraph"/>
      </w:pPr>
      <w:r>
        <w:t xml:space="preserve">To evaluate how different hierarchical representations of network structure explain variation in stability, we implemented a regularized linear modelling framework designed to balance interpretability and overfitting risk given the modest sample size (n = 38). For each stability component (complexity, robustness, and ρ), we fit elastic net regression models using three distinct structural representations: Fine-scale cluster-level topological descriptors, Dominant structural summaries (PC_Dominant), and Multivariate principal component scores (PC_Scores). All predictors and response variables were standardized prior to analysis to allow direct comparison of coefficient magnitudes.</w:t>
      </w:r>
    </w:p>
    <w:p>
      <w:pPr>
        <w:pStyle w:val="BodyText"/>
      </w:pPr>
      <w:r>
        <w:t xml:space="preserve">Elastic net regularization was chosen because it permits inference under correlated predictors by interpolating between ridge (distributed shrinkage) and lasso (sparse selection) penalties. The mixing parameter α (0–1) determines the degree of sparsity, with lower values indicating distributed structural influence and higher values indicating concentration onto a smaller subset of predictors.</w:t>
      </w:r>
    </w:p>
    <w:bookmarkStart w:id="17" w:name="model-evaluation"/>
    <w:p>
      <w:pPr>
        <w:pStyle w:val="Heading4"/>
      </w:pPr>
      <w:r>
        <w:t xml:space="preserve">2.4.4.1 Model Evaluation</w:t>
      </w:r>
    </w:p>
    <w:p>
      <w:pPr>
        <w:pStyle w:val="FirstParagraph"/>
      </w:pPr>
      <w:r>
        <w:t xml:space="preserve">Predictive performance was assessed using repeated v-fold cross-validation (5 folds × 20 repeats). Within each training partition, models were fit across a grid of α values (0–1 in increments of 0.25), and the optimal penalty strength (λ) was selected via internal cross-validation. Performance was quantified as cross-validated R^2 computed on held-out test partitions. After cross-validation, final models were refit to the full dataset using the mean selected α, and standardized coefficients were extracted to characterize the direction and magnitude of structural effects. This approach was not intended to maximize predictive accuracy per se, but rather to quantify the relative degree and architecture of structural control across stability facets.</w:t>
      </w:r>
    </w:p>
    <w:bookmarkEnd w:id="17"/>
    <w:bookmarkEnd w:id="18"/>
    <w:bookmarkEnd w:id="19"/>
    <w:bookmarkEnd w:id="20"/>
    <w:bookmarkStart w:id="75" w:name="results"/>
    <w:p>
      <w:pPr>
        <w:pStyle w:val="Heading1"/>
      </w:pPr>
      <w:r>
        <w:t xml:space="preserve">3. Results</w:t>
      </w:r>
    </w:p>
    <w:bookmarkStart w:id="25"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4" w:name="fig-cluster"/>
          <w:p>
            <w:pPr>
              <w:pStyle w:val="Compact"/>
              <w:jc w:val="center"/>
            </w:pPr>
            <w:r>
              <w:drawing>
                <wp:inline>
                  <wp:extent cx="5334000" cy="2720340"/>
                  <wp:effectExtent b="0" l="0" r="0" t="0"/>
                  <wp:docPr descr="" title="" id="22" name="Picture"/>
                  <a:graphic>
                    <a:graphicData uri="http://schemas.openxmlformats.org/drawingml/2006/picture">
                      <pic:pic>
                        <pic:nvPicPr>
                          <pic:cNvPr descr="figures/cluster_dendrogram.png" id="23" name="Picture"/>
                          <pic:cNvPicPr>
                            <a:picLocks noChangeArrowheads="1" noChangeAspect="1"/>
                          </pic:cNvPicPr>
                        </pic:nvPicPr>
                        <pic:blipFill>
                          <a:blip r:embed="rId21"/>
                          <a:stretch>
                            <a:fillRect/>
                          </a:stretch>
                        </pic:blipFill>
                        <pic:spPr bwMode="auto">
                          <a:xfrm>
                            <a:off x="0" y="0"/>
                            <a:ext cx="5334000" cy="2720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Hierarchical clustering of food-web structural descriptors. Dendrogram illustrating the modular organization of structural metrics based on a signed correlation matrix. Clustering was performed using UPGMA. Coloured bars indicate the seven distinct modules, reflecting robust association patterns among metrics. The horizontal axis represents the correlation distance (1−r), where shorter branches indicate stronger associations between descriptors.</w:t>
            </w:r>
          </w:p>
          <w:bookmarkEnd w:id="24"/>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 These included a large-scale architectural module integrating size and motif-based descriptors, modules capturing trophic organisation and energy routing, and two modules consisting of isolated structural descriptors that function independently from broader metric groupings. Importantly, the modular structure persisted after accounting for species richness, demonstrating that clustering was not driven solely by network size effects.</w:t>
      </w:r>
    </w:p>
    <w:bookmarkEnd w:id="25"/>
    <w:bookmarkStart w:id="27" w:name="Xf87f5051eb915ff1151c6c5eeec0927d46b580d"/>
    <w:p>
      <w:pPr>
        <w:pStyle w:val="Heading2"/>
      </w:pPr>
      <w:r>
        <w:t xml:space="preserve">3.2 Modular Decomposition of Structural Space</w:t>
      </w:r>
    </w:p>
    <w:p>
      <w:pPr>
        <w:pStyle w:val="FirstParagraph"/>
      </w:pPr>
      <w:r>
        <w:t xml:space="preserve">The seven-module solution revealed a hierarchical decomposition of structural space into interpretable architectural dimensions. Collectively, the module decomposition reveals that food web structure can be interpreted as statistically supported and ecologically interpretable dimensions of network organisation that is strongly suggestive of a delineation by hierarchical architecture.</w:t>
      </w:r>
    </w:p>
    <w:p>
      <w:pPr>
        <w:pStyle w:val="BodyText"/>
      </w:pPr>
      <w:r>
        <w:rPr>
          <w:b/>
          <w:bCs/>
        </w:rPr>
        <w:t xml:space="preserve">Macro-Architectural Complexity:</w:t>
      </w:r>
      <w:r>
        <w:t xml:space="preserve"> </w:t>
      </w:r>
      <w:r>
        <w:t xml:space="preserve">The largest module encompassed species richness, number of interactions, diameter, motif frequencies, intervality, and related descriptors. These metrics jointly describe large-scale expansion of the interaction network and increased combinatorial complexity as species richness increases. This module reflects macro-architectural scaling: increasing network size simultaneously expands motif diversity, path structure, and global trophic ordering.</w:t>
      </w:r>
    </w:p>
    <w:p>
      <w:pPr>
        <w:pStyle w:val="BodyText"/>
      </w:pPr>
      <w:r>
        <w:rPr>
          <w:b/>
          <w:bCs/>
        </w:rPr>
        <w:t xml:space="preserve">Trophic Integration:</w:t>
      </w:r>
      <w:r>
        <w:t xml:space="preserve"> </w:t>
      </w:r>
      <w:r>
        <w:t xml:space="preserve">A second module grouped metrics describing vertical trophic organisation and connectivity, including connectance, trophic level, omnivory, chain length, and clustering. Together, these descriptors quantify how densely and hierarchically energy and interactions are embedded across trophic strata. This module captures the degree to which the network integrates trophic levels through cross-level interactions and structural embedding.</w:t>
      </w:r>
    </w:p>
    <w:p>
      <w:pPr>
        <w:pStyle w:val="BodyText"/>
      </w:pPr>
      <w:r>
        <w:rPr>
          <w:b/>
          <w:bCs/>
        </w:rPr>
        <w:t xml:space="preserve">Energy Transport:</w:t>
      </w:r>
      <w:r>
        <w:t xml:space="preserve"> </w:t>
      </w:r>
      <w:r>
        <w:t xml:space="preserve">A distinct module isolated geometric descriptors of interaction pathways, including mean distance, path number, and dispersion in chain length. These metrics characterize the structural geometry of energy routing independent of overall network size. The separation of this module suggests that routing structure constitutes an independent dimension of architectural variation rather than merely scaling with complexity.</w:t>
      </w:r>
    </w:p>
    <w:p>
      <w:pPr>
        <w:pStyle w:val="BodyText"/>
      </w:pPr>
      <w:r>
        <w:rPr>
          <w:b/>
          <w:bCs/>
        </w:rPr>
        <w:t xml:space="preserve">Trophic Asymmetry:</w:t>
      </w:r>
      <w:r>
        <w:t xml:space="preserve"> </w:t>
      </w:r>
      <w:r>
        <w:t xml:space="preserve">Another module captured metrics describing structural imbalance between basal and consumer components, including the proportion of basal species, predator–prey ratios, and generality measures. This module reflects bottom-heavy versus top-heavy structural skew and quantifies asymmetry in the distribution of trophic roles across the network.</w:t>
      </w:r>
    </w:p>
    <w:p>
      <w:pPr>
        <w:pStyle w:val="BodyText"/>
      </w:pPr>
      <w:r>
        <w:rPr>
          <w:b/>
          <w:bCs/>
        </w:rPr>
        <w:t xml:space="preserve">Control Heterogeneity:</w:t>
      </w:r>
      <w:r>
        <w:t xml:space="preserve"> </w:t>
      </w:r>
      <w:r>
        <w:t xml:space="preserve">A separate module grouped descriptors of heterogeneity in consumer pressure and top-down control, including the proportion of apex species, herbivory structure, and variance in vulnerability. This module captures variation in how evenly or unevenly control is distributed across trophic levels.</w:t>
      </w:r>
    </w:p>
    <w:p>
      <w:pPr>
        <w:pStyle w:val="BodyText"/>
      </w:pPr>
      <w:r>
        <w:rPr>
          <w:b/>
          <w:bCs/>
        </w:rPr>
        <w:t xml:space="preserve">Centralisation and Functional Redundancy:</w:t>
      </w:r>
      <w:r>
        <w:t xml:space="preserve"> </w:t>
      </w:r>
      <w:r>
        <w:t xml:space="preserve">Two metrics formed independent modules. Centrality emerged as a standalone module, representing concentration of structural dominance within a subset of species. Maximum trophic similarity likewise formed an isolated module, quantifying functional redundancy and niche overlap. The separation of these descriptors from broader structural groupings indicates that dominance concentration and trophic redundancy represent independent axes of food-web organisation.</w:t>
      </w:r>
    </w:p>
    <w:p>
      <w:pPr>
        <w:pStyle w:val="BodyText"/>
      </w:pPr>
      <w:r>
        <w:t xml:space="preserve">Collectively, these seven modules delineate a hierarchical decomposition of food-web structure spanning macro-scale complexity, vertical integration, routing geometry, trophic imbalance, control heterogeneity, dominance concentration, and functional overlap.</w:t>
      </w:r>
    </w:p>
    <w:tbl>
      <w:tblPr>
        <w:tblStyle w:val="Table"/>
        <w:tblW w:type="pct" w:w="5000"/>
        <w:tblLayout w:type="fixed"/>
        <w:tblLook w:firstRow="0" w:lastRow="0" w:firstColumn="0" w:lastColumn="0" w:noHBand="0" w:noVBand="0" w:val="0000"/>
      </w:tblPr>
      <w:tblGrid>
        <w:gridCol w:w="7920"/>
      </w:tblGrid>
      <w:tr>
        <w:tc>
          <w:tcPr/>
          <w:bookmarkStart w:id="26"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2530"/>
              <w:gridCol w:w="2530"/>
              <w:gridCol w:w="286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r>
            <w:tr>
              <w:tc>
                <w:tcPr/>
                <w:p>
                  <w:pPr>
                    <w:pStyle w:val="Compact"/>
                    <w:jc w:val="center"/>
                  </w:pPr>
                  <w:r>
                    <w:t xml:space="preserve">Macro Complexity</w:t>
                  </w:r>
                </w:p>
              </w:tc>
              <w:tc>
                <w:tcPr/>
                <w:p>
                  <w:pPr>
                    <w:pStyle w:val="Compact"/>
                    <w:jc w:val="center"/>
                  </w:pPr>
                  <w:r>
                    <w:t xml:space="preserve">richness, links, diameter, motif frequencies (all), intervality, path-related metrics</w:t>
                  </w:r>
                </w:p>
              </w:tc>
              <w:tc>
                <w:tcPr/>
                <w:p>
                  <w:pPr>
                    <w:pStyle w:val="Compact"/>
                    <w:jc w:val="center"/>
                  </w:pPr>
                  <w:r>
                    <w:t xml:space="preserve">Captures large-scale expansion of network structure and combinatorial complexity associated with increasing system size</w:t>
                  </w:r>
                </w:p>
              </w:tc>
            </w:tr>
            <w:tr>
              <w:tc>
                <w:tcPr/>
                <w:p>
                  <w:pPr>
                    <w:pStyle w:val="Compact"/>
                    <w:jc w:val="center"/>
                  </w:pPr>
                  <w:r>
                    <w:t xml:space="preserve">Trophic Integration</w:t>
                  </w:r>
                </w:p>
              </w:tc>
              <w:tc>
                <w:tcPr/>
                <w:p>
                  <w:pPr>
                    <w:pStyle w:val="Compact"/>
                    <w:jc w:val="center"/>
                  </w:pPr>
                  <w:r>
                    <w:t xml:space="preserve">connectance, trophic level, omnivory, chain length, clustering</w:t>
                  </w:r>
                </w:p>
              </w:tc>
              <w:tc>
                <w:tcPr/>
                <w:p>
                  <w:pPr>
                    <w:pStyle w:val="Compact"/>
                    <w:jc w:val="center"/>
                  </w:pPr>
                  <w:r>
                    <w:t xml:space="preserve">Describes vertical trophic embedding and density of cross-level interactions</w:t>
                  </w:r>
                </w:p>
              </w:tc>
            </w:tr>
            <w:tr>
              <w:tc>
                <w:tcPr/>
                <w:p>
                  <w:pPr>
                    <w:pStyle w:val="Compact"/>
                    <w:jc w:val="center"/>
                  </w:pPr>
                  <w:r>
                    <w:t xml:space="preserve">Energy Transport</w:t>
                  </w:r>
                </w:p>
              </w:tc>
              <w:tc>
                <w:tcPr/>
                <w:p>
                  <w:pPr>
                    <w:pStyle w:val="Compact"/>
                    <w:jc w:val="center"/>
                  </w:pPr>
                  <w:r>
                    <w:t xml:space="preserve">mean distance, path number, chain-length</w:t>
                  </w:r>
                </w:p>
              </w:tc>
              <w:tc>
                <w:tcPr/>
                <w:p>
                  <w:pPr>
                    <w:pStyle w:val="Compact"/>
                    <w:jc w:val="center"/>
                  </w:pPr>
                  <w:r>
                    <w:t xml:space="preserve">Quantifies geometric structure of energy routing independent of size scaling</w:t>
                  </w:r>
                </w:p>
              </w:tc>
            </w:tr>
            <w:tr>
              <w:tc>
                <w:tcPr/>
                <w:p>
                  <w:pPr>
                    <w:pStyle w:val="Compact"/>
                    <w:jc w:val="center"/>
                  </w:pPr>
                  <w:r>
                    <w:t xml:space="preserve">Trophic Asymmetry</w:t>
                  </w:r>
                </w:p>
              </w:tc>
              <w:tc>
                <w:tcPr/>
                <w:p>
                  <w:pPr>
                    <w:pStyle w:val="Compact"/>
                    <w:jc w:val="center"/>
                  </w:pPr>
                  <w:r>
                    <w:t xml:space="preserve">basal proportion, predator–prey ratio, generality</w:t>
                  </w:r>
                </w:p>
              </w:tc>
              <w:tc>
                <w:tcPr/>
                <w:p>
                  <w:pPr>
                    <w:pStyle w:val="Compact"/>
                    <w:jc w:val="center"/>
                  </w:pPr>
                  <w:r>
                    <w:t xml:space="preserve">Represents structural skew between basal and consumer dominance; bottom-heavy vs top-heavy organization</w:t>
                  </w:r>
                </w:p>
              </w:tc>
            </w:tr>
            <w:tr>
              <w:tc>
                <w:tcPr/>
                <w:p>
                  <w:pPr>
                    <w:pStyle w:val="Compact"/>
                    <w:jc w:val="center"/>
                  </w:pPr>
                  <w:r>
                    <w:t xml:space="preserve">Control Heterogeneity</w:t>
                  </w:r>
                </w:p>
              </w:tc>
              <w:tc>
                <w:tcPr/>
                <w:p>
                  <w:pPr>
                    <w:pStyle w:val="Compact"/>
                    <w:jc w:val="center"/>
                  </w:pPr>
                  <w:r>
                    <w:t xml:space="preserve">apex proportion, herbivory, vulnerability</w:t>
                  </w:r>
                </w:p>
              </w:tc>
              <w:tc>
                <w:tcPr/>
                <w:p>
                  <w:pPr>
                    <w:pStyle w:val="Compact"/>
                    <w:jc w:val="center"/>
                  </w:pPr>
                  <w:r>
                    <w:t xml:space="preserve">Captures heterogeneity in top-down control and uneven distribution of interaction pressure</w:t>
                  </w:r>
                </w:p>
              </w:tc>
            </w:tr>
            <w:tr>
              <w:tc>
                <w:tcPr/>
                <w:p>
                  <w:pPr>
                    <w:pStyle w:val="Compact"/>
                    <w:jc w:val="center"/>
                  </w:pPr>
                  <w:r>
                    <w:t xml:space="preserve">Centralisation</w:t>
                  </w:r>
                </w:p>
              </w:tc>
              <w:tc>
                <w:tcPr/>
                <w:p>
                  <w:pPr>
                    <w:pStyle w:val="Compact"/>
                    <w:jc w:val="center"/>
                  </w:pPr>
                  <w:r>
                    <w:t xml:space="preserve">centrality</w:t>
                  </w:r>
                </w:p>
              </w:tc>
              <w:tc>
                <w:tcPr/>
                <w:p>
                  <w:pPr>
                    <w:pStyle w:val="Compact"/>
                    <w:jc w:val="center"/>
                  </w:pPr>
                  <w:r>
                    <w:t xml:space="preserve">Measures concentration of structural dominance within a subset of species</w:t>
                  </w:r>
                </w:p>
              </w:tc>
            </w:tr>
            <w:tr>
              <w:tc>
                <w:tcPr/>
                <w:p>
                  <w:pPr>
                    <w:pStyle w:val="Compact"/>
                    <w:jc w:val="center"/>
                  </w:pPr>
                  <w:r>
                    <w:t xml:space="preserve">Functional Redundancy</w:t>
                  </w:r>
                </w:p>
              </w:tc>
              <w:tc>
                <w:tcPr/>
                <w:p>
                  <w:pPr>
                    <w:pStyle w:val="Compact"/>
                    <w:jc w:val="center"/>
                  </w:pPr>
                  <w:r>
                    <w:t xml:space="preserve">maximum trophic similarity</w:t>
                  </w:r>
                </w:p>
              </w:tc>
              <w:tc>
                <w:tcPr/>
                <w:p>
                  <w:pPr>
                    <w:pStyle w:val="Compact"/>
                    <w:jc w:val="center"/>
                  </w:pPr>
                  <w:r>
                    <w:t xml:space="preserve">Quantifies trophic overlap and niche redundancy; independent axis of functional equivalence</w:t>
                  </w:r>
                </w:p>
              </w:tc>
            </w:tr>
          </w:tbl>
          <w:bookmarkEnd w:id="26"/>
          <w:p/>
        </w:tc>
      </w:tr>
    </w:tbl>
    <w:bookmarkEnd w:id="27"/>
    <w:bookmarkStart w:id="44" w:name="X88a5fb22cc012a2012a2ee06baac475b58bff9f"/>
    <w:p>
      <w:pPr>
        <w:pStyle w:val="Heading2"/>
      </w:pPr>
      <w:r>
        <w:t xml:space="preserve">3.3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69.1% of total variance (PC1 = 31.2%, PC2 = 22.4%, PC3 = 15.4%), with 80.8%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31" w:name="fig-pca"/>
          <w:p>
            <w:pPr>
              <w:pStyle w:val="Compact"/>
              <w:jc w:val="center"/>
            </w:pPr>
            <w:r>
              <w:drawing>
                <wp:inline>
                  <wp:extent cx="5334000" cy="3413760"/>
                  <wp:effectExtent b="0" l="0" r="0" t="0"/>
                  <wp:docPr descr="" title="" id="29" name="Picture"/>
                  <a:graphic>
                    <a:graphicData uri="http://schemas.openxmlformats.org/drawingml/2006/picture">
                      <pic:pic>
                        <pic:nvPicPr>
                          <pic:cNvPr descr="figures/pca_loadings.png" id="30" name="Picture"/>
                          <pic:cNvPicPr>
                            <a:picLocks noChangeArrowheads="1" noChangeAspect="1"/>
                          </pic:cNvPicPr>
                        </pic:nvPicPr>
                        <pic:blipFill>
                          <a:blip r:embed="rId28"/>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PCA loadings plot illustrating the dominant gradients of food web variation. Each point denotes a structural metric, with colours corresponding to the modular groupings. The clustering of like-coloured points along specific PC axes demonstrates that the modular organisation is preserved within a reduced dimensional space.</w:t>
            </w:r>
          </w:p>
          <w:bookmarkEnd w:id="3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 w:name="fig-variance"/>
          <w:p>
            <w:pPr>
              <w:pStyle w:val="Compact"/>
              <w:jc w:val="center"/>
            </w:pPr>
            <w:r>
              <w:drawing>
                <wp:inline>
                  <wp:extent cx="5334000" cy="2133600"/>
                  <wp:effectExtent b="0" l="0" r="0" t="0"/>
                  <wp:docPr descr="" title="" id="33" name="Picture"/>
                  <a:graphic>
                    <a:graphicData uri="http://schemas.openxmlformats.org/drawingml/2006/picture">
                      <pic:pic>
                        <pic:nvPicPr>
                          <pic:cNvPr descr="figures/variance_explained.png" id="34" name="Picture"/>
                          <pic:cNvPicPr>
                            <a:picLocks noChangeArrowheads="1" noChangeAspect="1"/>
                          </pic:cNvPicPr>
                        </pic:nvPicPr>
                        <pic:blipFill>
                          <a:blip r:embed="rId32"/>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This figure quantifies the relative contribution of each structural module to the variance captured by individual Principal Components (PCs). Calculation: For each PC, the total variance (eigenvalue) is partitioned among the k=7 modules identified in the hierarchical clustering. The contribution of a module to a specific PC is calculated as the sum of the squared loadings of all metrics belonging to that module, normalized by the total variance explained by that PC. Visual Interpretation: The alluvial plot illustrates how the ecological weight shifts across different structural dimensions. For example, while PC1 may be dominated by a single module, subsequent PCs often represent a more diverse blend of modular contributions, reflecting the multifaceted nature of topological complexity and trophic organization. Significance: This visualisation confirms that the PC axes are not merely statistical artifacts but are grounded in the specific groups of correlated metrics defined in the main text. The stability of the flow across the first several components demonstrates that the modular organisation of food web architecture is consistently represented across the primary gradients of structural variation.</w:t>
            </w:r>
          </w:p>
          <w:bookmarkEnd w:id="35"/>
        </w:tc>
      </w:tr>
    </w:tbl>
    <w:p>
      <w:pPr>
        <w:pStyle w:val="BodyText"/>
      </w:pPr>
      <w:r>
        <w:t xml:space="preserve">Inspection of the loading structure showed that the first principal component primarily reflected variation in network size and connectivity. Metrics such as richness, number of links, diameter, path length, and measures associated with topological complexity loaded strongly on this axis. The second principal component captured variation associated with structural organization and connectivity patterns, whereas the third component reflected variation in trophic structure and vertical differentiation, with strong contributions from trophic level, chain length, and related measures. Together, these axes represent interpretable structural gradients in the metric space.</w:t>
      </w:r>
    </w:p>
    <w:tbl>
      <w:tblPr>
        <w:tblStyle w:val="Table"/>
        <w:tblW w:type="pct" w:w="5000"/>
        <w:tblLayout w:type="fixed"/>
        <w:tblLook w:firstRow="0" w:lastRow="0" w:firstColumn="0" w:lastColumn="0" w:noHBand="0" w:noVBand="0" w:val="0000"/>
      </w:tblPr>
      <w:tblGrid>
        <w:gridCol w:w="7920"/>
      </w:tblGrid>
      <w:tr>
        <w:tc>
          <w:tcPr/>
          <w:bookmarkStart w:id="39" w:name="fig-alignment_heatmap"/>
          <w:p>
            <w:pPr>
              <w:pStyle w:val="Compact"/>
              <w:jc w:val="center"/>
            </w:pPr>
            <w:r>
              <w:drawing>
                <wp:inline>
                  <wp:extent cx="5334000" cy="2667000"/>
                  <wp:effectExtent b="0" l="0" r="0" t="0"/>
                  <wp:docPr descr="" title="" id="37" name="Picture"/>
                  <a:graphic>
                    <a:graphicData uri="http://schemas.openxmlformats.org/drawingml/2006/picture">
                      <pic:pic>
                        <pic:nvPicPr>
                          <pic:cNvPr descr="figures/module_alignment_heatmap.png" id="38"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 showing the correspondence between the seven identified food-web modules (rows) and the principal components (columns) capturing 80% of cumulative variance. High values (darker shading) indicate strong alignment, where a specific module’s internal structure drives the variation captured by that PC. Both rows and columns are hierarchically clustered to highlight similarities in how different structural dimensions contribute to the overall food-web architecture.</w:t>
            </w:r>
          </w:p>
          <w:bookmarkEnd w:id="39"/>
        </w:tc>
      </w:tr>
    </w:tbl>
    <w:p>
      <w:pPr>
        <w:pStyle w:val="BodyText"/>
      </w:pPr>
      <w:r>
        <w:t xml:space="preserve">The global permutation test indicated significant alignment between the modular partition and the principal component structure (P = 0.005), demonstrating that the observed module assignment explains the multivariate geometry of structural metrics better than randomly assigned modules. Alignment strength varied substantially across modules</w:t>
      </w:r>
      <w:r>
        <w:t xml:space="preserve"> </w:t>
      </w:r>
      <w:hyperlink w:anchor="fig-alignment_signif">
        <w:r>
          <w:rPr>
            <w:rStyle w:val="Hyperlink"/>
          </w:rPr>
          <w:t xml:space="preserve">Figure 5</w:t>
        </w:r>
      </w:hyperlink>
      <w:r>
        <w:t xml:space="preserve">. Macro Complexity (Module 1) exhibited the strongest and most extensive alignment, showing significant associations with five principal components and a dominant loading on PC1, indicating that it contributes substantially to the primary structural gradient associated with network size and connectivity. Energy Transport (Module 3) showed significant alignment with four principal components, with its strongest association on PC4, suggesting that it captures structural variation largely orthogonal to the dominant complexity axis. Trophic Integration (Module 2), Trophic Asymmetry (Module 4), Control Heterogeneity (Module 5), and Functional Redundancy (Module 7) displayed more limited alignment, each significantly associated with one to two principal components, indicating more constrained mapping onto the structural feature space. Notably, Functional Redundancy exhibited its strongest association with a high-order principal component (PC7), suggesting sensitivity to more subtle structural variation. Centralisation (Module 6) showed no significant alignment under the joint permutation and Z-score criterion, indicating that it does not meaningfully structure variation across the retained principal components. Overall, significant module–PC associations were concentrated in a subset of principal components, reinforcing the interpretation that modular structure maps onto specific structural gradients rather than uniformly spanning the full multivariate space.</w:t>
      </w:r>
    </w:p>
    <w:tbl>
      <w:tblPr>
        <w:tblStyle w:val="Table"/>
        <w:tblW w:type="pct" w:w="5000"/>
        <w:tblLayout w:type="fixed"/>
        <w:tblLook w:firstRow="0" w:lastRow="0" w:firstColumn="0" w:lastColumn="0" w:noHBand="0" w:noVBand="0" w:val="0000"/>
      </w:tblPr>
      <w:tblGrid>
        <w:gridCol w:w="7920"/>
      </w:tblGrid>
      <w:tr>
        <w:tc>
          <w:tcPr/>
          <w:bookmarkStart w:id="43" w:name="fig-alignment_signif"/>
          <w:p>
            <w:pPr>
              <w:pStyle w:val="Compact"/>
              <w:jc w:val="center"/>
            </w:pPr>
            <w:r>
              <w:drawing>
                <wp:inline>
                  <wp:extent cx="5334000" cy="2667000"/>
                  <wp:effectExtent b="0" l="0" r="0" t="0"/>
                  <wp:docPr descr="" title="" id="41" name="Picture"/>
                  <a:graphic>
                    <a:graphicData uri="http://schemas.openxmlformats.org/drawingml/2006/picture">
                      <pic:pic>
                        <pic:nvPicPr>
                          <pic:cNvPr descr="figures/heatmap_zscores.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3"/>
        </w:tc>
      </w:tr>
    </w:tbl>
    <w:p>
      <w:pPr>
        <w:pStyle w:val="BodyText"/>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Moreover, the dominance of a single module across multiple principal components suggests hierarchical organisation, wherein a core structural module governs the primary gradient of variation while additional modules capture secondary and specialised structural dimensions.</w:t>
      </w:r>
    </w:p>
    <w:bookmarkEnd w:id="44"/>
    <w:bookmarkStart w:id="74" w:name="predictors-of-stability"/>
    <w:p>
      <w:pPr>
        <w:pStyle w:val="Heading2"/>
      </w:pPr>
      <w:r>
        <w:t xml:space="preserve">3.4 Predictors of stability</w:t>
      </w:r>
    </w:p>
    <w:bookmarkStart w:id="49" w:name="dimensional-reduction-characterisation"/>
    <w:p>
      <w:pPr>
        <w:pStyle w:val="Heading3"/>
      </w:pPr>
      <w:r>
        <w:t xml:space="preserve">3.4.1 Dimensional Reduction Characterisation</w:t>
      </w:r>
    </w:p>
    <w:tbl>
      <w:tblPr>
        <w:tblStyle w:val="Table"/>
        <w:tblW w:type="pct" w:w="5000"/>
        <w:tblLayout w:type="fixed"/>
        <w:tblLook w:firstRow="1" w:lastRow="0" w:firstColumn="0" w:lastColumn="0" w:noHBand="0" w:noVBand="0" w:val="0020"/>
      </w:tblPr>
      <w:tblGrid>
        <w:gridCol w:w="2132"/>
        <w:gridCol w:w="1624"/>
        <w:gridCol w:w="2030"/>
        <w:gridCol w:w="2132"/>
      </w:tblGrid>
      <w:tr>
        <w:trPr>
          <w:tblHeader w:val="on"/>
        </w:trPr>
        <w:tc>
          <w:tcPr/>
          <w:p>
            <w:pPr>
              <w:pStyle w:val="Compact"/>
            </w:pPr>
            <w:r>
              <w:t xml:space="preserve">Representation</w:t>
            </w:r>
          </w:p>
        </w:tc>
        <w:tc>
          <w:tcPr/>
          <w:p>
            <w:pPr>
              <w:pStyle w:val="Compact"/>
            </w:pPr>
            <w:r>
              <w:t xml:space="preserve">Dimensionality</w:t>
            </w:r>
          </w:p>
        </w:tc>
        <w:tc>
          <w:tcPr/>
          <w:p>
            <w:pPr>
              <w:pStyle w:val="Compact"/>
            </w:pPr>
            <w:r>
              <w:t xml:space="preserve">Variance Preserved</w:t>
            </w:r>
          </w:p>
        </w:tc>
        <w:tc>
          <w:tcPr/>
          <w:p>
            <w:pPr>
              <w:pStyle w:val="Compact"/>
            </w:pPr>
            <w:r>
              <w:t xml:space="preserve">Structure Type</w:t>
            </w:r>
          </w:p>
        </w:tc>
      </w:tr>
      <w:tr>
        <w:tc>
          <w:tcPr/>
          <w:p>
            <w:pPr>
              <w:pStyle w:val="Compact"/>
            </w:pPr>
            <w:r>
              <w:t xml:space="preserve">Medoids</w:t>
            </w:r>
          </w:p>
        </w:tc>
        <w:tc>
          <w:tcPr/>
          <w:p>
            <w:pPr>
              <w:pStyle w:val="Compact"/>
            </w:pPr>
            <w:r>
              <w:t xml:space="preserve">7</w:t>
            </w:r>
          </w:p>
        </w:tc>
        <w:tc>
          <w:tcPr/>
          <w:p>
            <w:pPr>
              <w:pStyle w:val="Compact"/>
            </w:pPr>
            <w:r>
              <w:t xml:space="preserve">23%</w:t>
            </w:r>
          </w:p>
        </w:tc>
        <w:tc>
          <w:tcPr/>
          <w:p>
            <w:pPr>
              <w:pStyle w:val="Compact"/>
            </w:pPr>
            <w:r>
              <w:t xml:space="preserve">Domain sampling</w:t>
            </w:r>
          </w:p>
        </w:tc>
      </w:tr>
      <w:tr>
        <w:tc>
          <w:tcPr/>
          <w:p>
            <w:pPr>
              <w:pStyle w:val="Compact"/>
            </w:pPr>
            <w:r>
              <w:t xml:space="preserve">PC-dominant metrics</w:t>
            </w:r>
          </w:p>
        </w:tc>
        <w:tc>
          <w:tcPr/>
          <w:p>
            <w:pPr>
              <w:pStyle w:val="Compact"/>
            </w:pPr>
            <w:r>
              <w:t xml:space="preserve">4</w:t>
            </w:r>
          </w:p>
        </w:tc>
        <w:tc>
          <w:tcPr/>
          <w:p>
            <w:pPr>
              <w:pStyle w:val="Compact"/>
            </w:pPr>
            <w:r>
              <w:t xml:space="preserve">13%</w:t>
            </w:r>
          </w:p>
        </w:tc>
        <w:tc>
          <w:tcPr/>
          <w:p>
            <w:pPr>
              <w:pStyle w:val="Compact"/>
            </w:pPr>
            <w:r>
              <w:t xml:space="preserve">Axis proxy sampling</w:t>
            </w:r>
          </w:p>
        </w:tc>
      </w:tr>
      <w:tr>
        <w:tc>
          <w:tcPr/>
          <w:p>
            <w:pPr>
              <w:pStyle w:val="Compact"/>
            </w:pPr>
            <w:r>
              <w:t xml:space="preserve">PC scores</w:t>
            </w:r>
          </w:p>
        </w:tc>
        <w:tc>
          <w:tcPr/>
          <w:p>
            <w:pPr>
              <w:pStyle w:val="Compact"/>
            </w:pPr>
            <w:r>
              <w:t xml:space="preserve">5</w:t>
            </w:r>
          </w:p>
        </w:tc>
        <w:tc>
          <w:tcPr/>
          <w:p>
            <w:pPr>
              <w:pStyle w:val="Compact"/>
            </w:pPr>
            <w:r>
              <w:t xml:space="preserve">80%</w:t>
            </w:r>
          </w:p>
        </w:tc>
        <w:tc>
          <w:tcPr/>
          <w:p>
            <w:pPr>
              <w:pStyle w:val="Compact"/>
            </w:pPr>
            <w:r>
              <w:t xml:space="preserve">True latent space</w:t>
            </w:r>
          </w:p>
        </w:tc>
      </w:tr>
    </w:tbl>
    <w:p>
      <w:pPr>
        <w:pStyle w:val="BodyText"/>
      </w:pPr>
      <w:r>
        <w:t xml:space="preserve">To evaluate how alternative structural representations differed in their information content and redundancy, we quantified variance retention, internal correlation structure, effective dimensionality, and geometric similarity among representations.</w:t>
      </w:r>
    </w:p>
    <w:p>
      <w:pPr>
        <w:pStyle w:val="BodyText"/>
      </w:pPr>
      <w:r>
        <w:rPr>
          <w:b/>
          <w:bCs/>
        </w:rPr>
        <w:t xml:space="preserve">Variance Retention:</w:t>
      </w:r>
      <w:r>
        <w:t xml:space="preserve"> </w:t>
      </w:r>
      <w:r>
        <w:t xml:space="preserve">The three representations differed substantially in the proportion of total structural variance preserved (Fig. S1A). The cluster-medoid representation retained ~23% of the total variance in the full metric space despite reducing dimensionality to seven predictors. In contrast, the PC-dominant metric set retained only ~13% of total variance, reflecting the fact that individual metrics capture only a fraction of each principal component’s multivariate structure. As expected by construction, the retained PC-score representation preserved approximately 80% of total variance. Thus, domain-based reduction preserved more distributed structural information than selecting one metric per PC axis, whereas the PC-score representation maximally preserved dominant gradients of network variation.</w:t>
      </w:r>
    </w:p>
    <w:p>
      <w:pPr>
        <w:pStyle w:val="BodyText"/>
      </w:pPr>
      <w:r>
        <w:rPr>
          <w:b/>
          <w:bCs/>
        </w:rPr>
        <w:t xml:space="preserve">Internal Redundancy:</w:t>
      </w:r>
      <w:r>
        <w:t xml:space="preserve"> </w:t>
      </w:r>
      <w:r>
        <w:t xml:space="preserve">Representations also differed in their internal correlation structure (Fig. S1B). PC scores were orthogonal by definition (mean |r| ≈ 0), indicating complete statistical independence among predictors. In contrast, cluster medoids exhibited moderate residual correlation (mean |r| = X), suggesting partial overlap among structural domains. PC-dominant metrics showed comparable (or higher/lower — insert result) redundancy relative to medoids. These differences indicate that the three approaches vary not only in information retention but also in predictor independence.</w:t>
      </w:r>
    </w:p>
    <w:p>
      <w:pPr>
        <w:pStyle w:val="BodyText"/>
      </w:pPr>
      <w:r>
        <w:rPr>
          <w:b/>
          <w:bCs/>
        </w:rPr>
        <w:t xml:space="preserve">Effective Dimensionality:</w:t>
      </w:r>
      <w:r>
        <w:t xml:space="preserve"> </w:t>
      </w:r>
      <w:r>
        <w:t xml:space="preserve">We next quantified effective dimensionality as the number of axes required to explain 80% of variance within each reduced predictor set (Fig. S1C). The PC-score representation required X axes, reflecting its design to capture dominant structural gradients. The cluster-medoid representation required X axes to reach the same threshold, indicating that despite containing seven predictors, structural variation was concentrated along fewer effective dimensions. The PC-dominant set exhibited the lowest effective dimensionality (X axes), consistent with its reduced variance retention. Together, these results show that dimensional compression differed across approaches not only in magnitude but in the distribution of variance across axes.</w:t>
      </w:r>
    </w:p>
    <w:p>
      <w:pPr>
        <w:pStyle w:val="BodyText"/>
      </w:pPr>
      <w:r>
        <w:t xml:space="preserve">Overall, the three structural representations differed substantially in variance retention, redundancy, and effective dimensionality. Cluster medoids preserved moderate variance while maintaining domain interpretability, PC-dominant metrics retained minimal total variance, and PC scores preserved dominant structural gradients while ensuring predictor orthogonality. These differences establish that the representations encode distinct aspects of network topology, justifying their empirical comparison in predictive analyses of stability.</w:t>
      </w:r>
    </w:p>
    <w:tbl>
      <w:tblPr>
        <w:tblStyle w:val="Table"/>
        <w:tblW w:type="pct" w:w="5000"/>
        <w:tblLayout w:type="fixed"/>
        <w:tblLook w:firstRow="0" w:lastRow="0" w:firstColumn="0" w:lastColumn="0" w:noHBand="0" w:noVBand="0" w:val="0000"/>
      </w:tblPr>
      <w:tblGrid>
        <w:gridCol w:w="7920"/>
      </w:tblGrid>
      <w:tr>
        <w:tc>
          <w:tcPr/>
          <w:bookmarkStart w:id="48" w:name="fig-dim_red"/>
          <w:p>
            <w:pPr>
              <w:pStyle w:val="Compact"/>
              <w:jc w:val="center"/>
            </w:pPr>
            <w:r>
              <w:drawing>
                <wp:inline>
                  <wp:extent cx="5334000" cy="7620000"/>
                  <wp:effectExtent b="0" l="0" r="0" t="0"/>
                  <wp:docPr descr="" title="" id="46" name="Picture"/>
                  <a:graphic>
                    <a:graphicData uri="http://schemas.openxmlformats.org/drawingml/2006/picture">
                      <pic:pic>
                        <pic:nvPicPr>
                          <pic:cNvPr descr="figures/fig_dimensional_reduction.png" id="47" name="Picture"/>
                          <pic:cNvPicPr>
                            <a:picLocks noChangeArrowheads="1" noChangeAspect="1"/>
                          </pic:cNvPicPr>
                        </pic:nvPicPr>
                        <pic:blipFill>
                          <a:blip r:embed="rId45"/>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i/>
                <w:iCs/>
              </w:rPr>
              <w:t xml:space="preserve">Figure S1.</w:t>
            </w:r>
            <w:r>
              <w:t xml:space="preserve"> </w:t>
            </w:r>
            <w:r>
              <w:t xml:space="preserve">Characterisation of alternative dimensional-reduction approaches for network structural metrics. (A) Proportion of total variance in the full metric space retained by each representation: cluster medoids, PC-dominant metrics, and retained PC scores (≥80% cumulative variance). (B) Mean absolute pairwise correlation (|r|) among predictors within each representation, quantifying internal redundancy. (C) Effective dimensionality, defined as the number of axes required to explain 80% of variance within each reduced predictor set. Together, these diagnostics illustrate differences in information retention, redundancy, and structural alignment among dimensional-reduction strategies.</w:t>
            </w:r>
          </w:p>
          <w:bookmarkEnd w:id="48"/>
        </w:tc>
      </w:tr>
    </w:tbl>
    <w:bookmarkEnd w:id="49"/>
    <w:bookmarkStart w:id="56" w:name="Xc84dddb6d18a1e743db36dc7aa62f328aa8c858"/>
    <w:p>
      <w:pPr>
        <w:pStyle w:val="Heading3"/>
      </w:pPr>
      <w:r>
        <w:t xml:space="preserve">3.4.2 Predictive Performance Across Structural Representations</w:t>
      </w:r>
    </w:p>
    <w:bookmarkStart w:id="54" w:name="X7b50f5980f1a92178d840598f85f81221ca9fb6"/>
    <w:p>
      <w:pPr>
        <w:pStyle w:val="Heading4"/>
      </w:pPr>
      <w:r>
        <w:t xml:space="preserve">3.4.2.1 Predictor Importance and Structural Drivers</w:t>
      </w:r>
    </w:p>
    <w:p>
      <w:pPr>
        <w:pStyle w:val="FirstParagraph"/>
      </w:pPr>
      <w:r>
        <w:t xml:space="preserve">Across all stability components, elastic net regularization revealed that structural predictors contributed differently depending on how network space was represented. The degree of regularization (α) and the distribution of non-zero coefficients varied systematically across representations, indicating that structural abstraction alters which aspects of topology emerge as dominant drivers. Models based on fine-scale cluster descriptors retained multiple predictors with moderate standardized effects, reflecting distributed structural control across correlated topological features. In these models, structural heterogeneity metrics, similarity measures, and connectivity descriptors jointly contributed to explaining variation in stability components. By contrast, models using dominant structural metrics (PC_Dominant) tended to concentrate predictive weight onto a smaller subset of variables. This suggests that dimensional compression isolates key structural features that summarize broader topological variation, albeit at the cost of omitting more nuanced structural contributions. When stability was modelled using principal component scores (PC_Scores), structural influence was reorganized into orthogonal latent axes. In this representation, predictors frequently collapsed onto one or two dominant components, indicating that stability responses align with coordinated structural gradients rather than individual metrics. Together, these patterns demonstrate that the identification of “important” structural drivers is contingent on how network space is represented. Predictor importance is therefore not an intrinsic property of a metric alone, but emerges from the structural abstraction applied.</w:t>
      </w:r>
    </w:p>
    <w:tbl>
      <w:tblPr>
        <w:tblStyle w:val="Table"/>
        <w:tblW w:type="pct" w:w="5000"/>
        <w:tblLayout w:type="fixed"/>
        <w:tblLook w:firstRow="0" w:lastRow="0" w:firstColumn="0" w:lastColumn="0" w:noHBand="0" w:noVBand="0" w:val="0000"/>
      </w:tblPr>
      <w:tblGrid>
        <w:gridCol w:w="7920"/>
      </w:tblGrid>
      <w:tr>
        <w:tc>
          <w:tcPr/>
          <w:bookmarkStart w:id="53" w:name="fig-var_pred"/>
          <w:p>
            <w:pPr>
              <w:pStyle w:val="Compact"/>
              <w:jc w:val="center"/>
            </w:pPr>
            <w:r>
              <w:drawing>
                <wp:inline>
                  <wp:extent cx="5334000" cy="4513384"/>
                  <wp:effectExtent b="0" l="0" r="0" t="0"/>
                  <wp:docPr descr="" title="" id="51" name="Picture"/>
                  <a:graphic>
                    <a:graphicData uri="http://schemas.openxmlformats.org/drawingml/2006/picture">
                      <pic:pic>
                        <pic:nvPicPr>
                          <pic:cNvPr descr="figures/struct_stability_summ.png" id="52" name="Picture"/>
                          <pic:cNvPicPr>
                            <a:picLocks noChangeArrowheads="1" noChangeAspect="1"/>
                          </pic:cNvPicPr>
                        </pic:nvPicPr>
                        <pic:blipFill>
                          <a:blip r:embed="rId50"/>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Predictive performance of alternative structural representations across stability components. Bars show cross-validated variance explained (R²) for each stability component (facets) under three representations of network structure: cluster-level descriptors, dominant structural metrics, and principal component scores. Bar height represents the total variance explained by each representation, while coloured segments indicate the proportional contribution of structural modules to that predictive signal. This partitioning highlights how different domains of network architecture contribute to explaining variation in stability across representations. B: Regularisation structure across stability components and structural representations. Bars show the mean elastic-net mixing parameter (α) across repeated cross-validation folds. Values near zero indicate ridge-like models where predictive signal is distributed across many correlated structural predictors, whereas values near one indicate lasso-like models where predictive power is concentrated in a small number of predictors. Together, panels illustrate how both the explanatory strength and structural concentration of stability predictors depend on how network structure is represented.</w:t>
            </w:r>
          </w:p>
          <w:bookmarkEnd w:id="53"/>
        </w:tc>
      </w:tr>
    </w:tbl>
    <w:bookmarkEnd w:id="54"/>
    <w:bookmarkStart w:id="55" w:name="structural-drivers-of-stability"/>
    <w:p>
      <w:pPr>
        <w:pStyle w:val="Heading4"/>
      </w:pPr>
      <w:r>
        <w:t xml:space="preserve">3.4.2.2 Structural Drivers of Stability</w:t>
      </w:r>
    </w:p>
    <w:p>
      <w:pPr>
        <w:pStyle w:val="FirstParagraph"/>
      </w:pPr>
      <w:r>
        <w:t xml:space="preserve">Predictive performance differed substantially across stability components and structural representations, revealing variation in how strongly each facet of stability is encoded in static network architecture. Across all representations, ρ exhibited the strongest structural determination, with the highest cross-validated predictive performance under the multivariate PC representation. This indicates that ρ is most effectively captured as a response to coordinated structural gradients embedded within the network topology. Complexity showed intermediate structural predictability, with highest performance at the fine-scale cluster level. This suggests that complexity is shaped by distributed topological features that are partially lost under structural compression but captured when network heterogeneity is described at higher resolution. Robustness exhibited comparatively weak structural predictability across representations. Although modest improvements were observed under principal component abstraction, overall explanatory power remained low relative to other stability components. This pattern implies that robustness is not strongly determined by static structural descriptors alone and may depend on additional dynamical or context-dependent processes not captured in topology. Importantly, shifts in predictive performance across representations indicate that structural abstraction alters the apparent strength of structural control. Certain stability components become more predictable when topology is expressed as fine-grained metrics, whereas others align more strongly with latent structural gradients. Thus, the representation of network space directly shapes inferences about structural drivers of stability.</w:t>
      </w:r>
    </w:p>
    <w:bookmarkEnd w:id="55"/>
    <w:bookmarkEnd w:id="56"/>
    <w:bookmarkStart w:id="73" w:name="X73913e843a710c2fae54bf48cab233da110fa6d"/>
    <w:p>
      <w:pPr>
        <w:pStyle w:val="Heading3"/>
      </w:pPr>
      <w:r>
        <w:t xml:space="preserve">3.4.3 Differential Effects Across Stability Components</w:t>
      </w:r>
    </w:p>
    <w:p>
      <w:pPr>
        <w:pStyle w:val="FirstParagraph"/>
      </w:pPr>
      <w:r>
        <w:t xml:space="preserve">The relationship between network structure and stability was not uniform across components but instead varied systematically in both magnitude and architecture. Complexity was governed by distributed structural influence, with intermediate regularization and multiple retained predictors across representations. This indicates that complexity reflects the cumulative effect of multiple interacting topological features rather than a single dominant driver. In contrast, ρ displayed stronger alignment with multivariate structural axes. Its predictive structure was most coherent under principal component abstraction, suggesting that it emerges from integrated patterns of connectivity and organization that span multiple network dimensions. Robustness differed qualitatively. Under principal component representation, models shifted toward sparsity, with a single dominant structural axis explaining most retained signal. However, overall explanatory power remained modest. This implies that robustness may be only weakly constrained by static network architecture and potentially more sensitive to perturbation dynamics or species-level functional traits.</w:t>
      </w:r>
    </w:p>
    <w:p>
      <w:pPr>
        <w:pStyle w:val="BodyText"/>
      </w:pPr>
      <w:r>
        <w:t xml:space="preserve">Collectively, these results demonstrate that stability components occupy distinct positions within structural space and are governed by different structural hierarchies. Complexity is shaped by distributed fine-scale topology, ρ emerges from coordinated multivariate structural gradients, and robustness exhibits comparatively weak and representation-sensitive structural determination. Rather than reflecting a single structural driver, stability components are organized along layered and facet-specific dimensions of network architecture.</w:t>
      </w:r>
    </w:p>
    <w:tbl>
      <w:tblPr>
        <w:tblStyle w:val="Table"/>
        <w:tblW w:type="pct" w:w="5000"/>
        <w:tblLayout w:type="fixed"/>
        <w:tblLook w:firstRow="0" w:lastRow="0" w:firstColumn="0" w:lastColumn="0" w:noHBand="0" w:noVBand="0" w:val="0000"/>
      </w:tblPr>
      <w:tblGrid>
        <w:gridCol w:w="7920"/>
      </w:tblGrid>
      <w:tr>
        <w:tc>
          <w:tcPr/>
          <w:bookmarkStart w:id="60" w:name="fig-stab_corr"/>
          <w:p>
            <w:pPr>
              <w:pStyle w:val="Compact"/>
              <w:jc w:val="center"/>
            </w:pPr>
            <w:r>
              <w:drawing>
                <wp:inline>
                  <wp:extent cx="5334000" cy="4267200"/>
                  <wp:effectExtent b="0" l="0" r="0" t="0"/>
                  <wp:docPr descr="" title="" id="58" name="Picture"/>
                  <a:graphic>
                    <a:graphicData uri="http://schemas.openxmlformats.org/drawingml/2006/picture">
                      <pic:pic>
                        <pic:nvPicPr>
                          <pic:cNvPr descr="figures/struct_stability_coeff.png" id="59" name="Picture"/>
                          <pic:cNvPicPr>
                            <a:picLocks noChangeArrowheads="1" noChangeAspect="1"/>
                          </pic:cNvPicPr>
                        </pic:nvPicPr>
                        <pic:blipFill>
                          <a:blip r:embed="rId5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Standardised structural coefficients linking network predictors to stability components across representations. Elastic-net coefficients extracted from full models after cross-validation. Positive and negative coefficients indicate the direction and magnitude of structural influence. Predictor ordering reflects clustering metadata, and colours denote structural modules or metric groupings. Faceting by stability component and structural representation illustrates how the identity and strength of structural drivers reorganize as network space is represented at different levels of abstraction.</w:t>
            </w:r>
          </w:p>
          <w:bookmarkEnd w:id="6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stab_var_metric"/>
          <w:p>
            <w:pPr>
              <w:pStyle w:val="Compact"/>
              <w:jc w:val="center"/>
            </w:pPr>
            <w:r>
              <w:drawing>
                <wp:inline>
                  <wp:extent cx="5334000" cy="3733799"/>
                  <wp:effectExtent b="0" l="0" r="0" t="0"/>
                  <wp:docPr descr="" title="" id="62" name="Picture"/>
                  <a:graphic>
                    <a:graphicData uri="http://schemas.openxmlformats.org/drawingml/2006/picture">
                      <pic:pic>
                        <pic:nvPicPr>
                          <pic:cNvPr descr="figures/struct_stability_variance.png" id="63" name="Picture"/>
                          <pic:cNvPicPr>
                            <a:picLocks noChangeArrowheads="1" noChangeAspect="1"/>
                          </pic:cNvPicPr>
                        </pic:nvPicPr>
                        <pic:blipFill>
                          <a:blip r:embed="rId6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Contribution of individual structural descriptors to the variance explained in ecological stability. Points and horizontal segments show the proportion of variance in each stability metric (robustness, return rate ρ, and dynamical complexity) explained by each predictor, estimated from standardized elastic-net coefficients. Panels are organized by structural representation (rows) and stability metric (columns). Colours indicate the structural module or domain to which each metric belongs; metrics not assigned to a module (“PCA Axis”) are shown in grey-green. This visualization highlights which individual network descriptors most strongly influence model predictions, while also revealing variation in importance across representations and stability components.</w:t>
            </w:r>
          </w:p>
          <w:bookmarkEnd w:id="6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stab_var_module"/>
          <w:p>
            <w:pPr>
              <w:pStyle w:val="Compact"/>
              <w:jc w:val="center"/>
            </w:pPr>
            <w:r>
              <w:drawing>
                <wp:inline>
                  <wp:extent cx="5334000" cy="2051538"/>
                  <wp:effectExtent b="0" l="0" r="0" t="0"/>
                  <wp:docPr descr="" title="" id="66" name="Picture"/>
                  <a:graphic>
                    <a:graphicData uri="http://schemas.openxmlformats.org/drawingml/2006/picture">
                      <pic:pic>
                        <pic:nvPicPr>
                          <pic:cNvPr descr="figures/struct_stability_variance_module.png" id="67" name="Picture"/>
                          <pic:cNvPicPr>
                            <a:picLocks noChangeArrowheads="1" noChangeAspect="1"/>
                          </pic:cNvPicPr>
                        </pic:nvPicPr>
                        <pic:blipFill>
                          <a:blip r:embed="rId65"/>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Contributions of structural modules to the variance explained in ecological stability. Bars show the proportion of variance in each stability metric explained by elastic-net models, aggregated across structural domains (modules) or PCA axes. Total bar height reflects the overall model predictive performance (R2), while coloured segments represent the relative contribution of each module, estimated from the sum of squared standardized coefficients. Facets separate stability metrics, and bar groups correspond to alternative structural representations (cluster medoids, dominant metrics, PCA scores). This representation summarizes how stability is shaped by collective architectural dimensions, demonstrating which modules—such as macro-architectural complexity, trophic integration, energy transport, and trophic asymmetry—drive variation in system-level stability.</w:t>
            </w:r>
          </w:p>
          <w:bookmarkEnd w:id="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 w:name="fig-pca_struct_stability.png"/>
          <w:p>
            <w:pPr>
              <w:pStyle w:val="Compact"/>
              <w:jc w:val="center"/>
            </w:pPr>
            <w:r>
              <w:drawing>
                <wp:inline>
                  <wp:extent cx="5334000" cy="2909454"/>
                  <wp:effectExtent b="0" l="0" r="0" t="0"/>
                  <wp:docPr descr="" title="" id="70" name="Picture"/>
                  <a:graphic>
                    <a:graphicData uri="http://schemas.openxmlformats.org/drawingml/2006/picture">
                      <pic:pic>
                        <pic:nvPicPr>
                          <pic:cNvPr descr="figures/pca_struct_stability.png" id="71" name="Picture"/>
                          <pic:cNvPicPr>
                            <a:picLocks noChangeArrowheads="1" noChangeAspect="1"/>
                          </pic:cNvPicPr>
                        </pic:nvPicPr>
                        <pic:blipFill>
                          <a:blip r:embed="rId69"/>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Food web structural variation and stability landscape. Points represent individual networks projected into structural principal component space, with the x- and y-axes corresponding to PC1 and PC2 of the network-level metrics. Point size (scaled independently within each stability metric) reflects the relative magnitude of the associated stability measure (robustness, ρ, or complexity) across networks. Arrows indicate the contribution of structural modules (e.g., macro-architectural complexity, trophic integration, energy transport, trophic asymmetry, control heterogeneity, centralisation, and functional redundancy) to the PCA axes, approximating the structural domains most associated with variation in network configuration. Facets separate stability metrics (rows) and structural representations (columns), highlighting how different network structures relate to each stability component. Arrow length is globally scaled for visibility, with module orientation showing the direction of increasing module values in PCA space.</w:t>
            </w:r>
          </w:p>
          <w:bookmarkEnd w:id="72"/>
        </w:tc>
      </w:tr>
    </w:tbl>
    <w:bookmarkEnd w:id="73"/>
    <w:bookmarkEnd w:id="74"/>
    <w:bookmarkEnd w:id="75"/>
    <w:bookmarkStart w:id="80" w:name="discussion"/>
    <w:p>
      <w:pPr>
        <w:pStyle w:val="Heading1"/>
      </w:pPr>
      <w:r>
        <w:t xml:space="preserve">4. Discussion</w:t>
      </w:r>
    </w:p>
    <w:bookmarkStart w:id="76" w:name="network-structure-is-multidimensional"/>
    <w:p>
      <w:pPr>
        <w:pStyle w:val="Heading2"/>
      </w:pPr>
      <w:r>
        <w:t xml:space="preserve">4.1 Network structure is multidimensional</w:t>
      </w:r>
    </w:p>
    <w:p>
      <w:pPr>
        <w:pStyle w:val="FirstParagraph"/>
      </w:pPr>
      <w:r>
        <w:t xml:space="preserve">For several decades, ecological theory has sought to understand how the structure of food webs influences ecological stability. Yet despite extensive empirical and theoretical work, consensus has remained elusive. Different studies frequently identify different structural predictors of stability, and results often appear contradictory. Connectance has been linked both positively and negatively to stability, omnivory has been argued to stabilise or destabilise communities, and measures of modularity, trophic organisation, or motif structure have each been proposed as key determinants of ecosystem dynamics.</w:t>
      </w:r>
    </w:p>
    <w:p>
      <w:pPr>
        <w:pStyle w:val="BodyText"/>
      </w:pPr>
      <w:r>
        <w:t xml:space="preserve">Our results suggest that much of this inconsistency may arise from a conceptual simplification: network structure is rarely a single property. Instead, food-web architecture appears to be organised along several coherent dimensions of variation. Structural metrics commonly used in ecological studies do not behave as independent descriptors, nor do they represent interchangeable proxies for a single structural attribute. Rather, they cluster into statistically robust modules that capture distinct aspects of network organisation.</w:t>
      </w:r>
    </w:p>
    <w:p>
      <w:pPr>
        <w:pStyle w:val="BodyText"/>
      </w:pPr>
      <w:r>
        <w:t xml:space="preserve">This modular structure implies that ecological networks occupy a multidimensional structural space, in which different metrics describe different axes of variation in how interactions are arranged. In this view, commonly used descriptors such as connectance, trophic level, motif frequencies, or network distance are not competing measurements of the same property but rather partial projections of a more complex architectural system. The structure–stability debate has therefore often compared results derived from fundamentally different structural dimensions.</w:t>
      </w:r>
    </w:p>
    <w:p>
      <w:pPr>
        <w:pStyle w:val="BodyText"/>
      </w:pPr>
      <w:r>
        <w:t xml:space="preserve">## Structural modules reveal dimensions of network architecture</w:t>
      </w:r>
    </w:p>
    <w:p>
      <w:pPr>
        <w:pStyle w:val="BodyText"/>
      </w:pPr>
      <w:r>
        <w:t xml:space="preserve">The clustering analysis revealed consistent groupings of metrics describing different aspects of food-web organisation. Some modules correspond to large-scale architectural expansion, integrating species richness, interaction density, motif frequencies, and global network properties. Others capture more specific aspects of trophic organisation, such as the degree of vertical integration among trophic levels or the geometry of energy-transfer pathways.</w:t>
      </w:r>
    </w:p>
    <w:p>
      <w:pPr>
        <w:pStyle w:val="BodyText"/>
      </w:pPr>
      <w:r>
        <w:t xml:space="preserve">The emergence of these modules indicates that food-web structure is not best understood as a flat collection of descriptors but as a hierarchically organised architectural system. Certain structural properties scale together as networks expand, while others vary independently and represent alternative ways of organising trophic interactions.</w:t>
      </w:r>
    </w:p>
    <w:p>
      <w:pPr>
        <w:pStyle w:val="BodyText"/>
      </w:pPr>
      <w:r>
        <w:t xml:space="preserve">Importantly, the existence of these modules suggests that the large number of metrics currently used in network ecology largely represent a smaller number of underlying structural domains. Many descriptors capture overlapping information, whereas others represent distinct aspects of network organisation that are rarely considered together. Recognising these domains provides a principled basis for reducing metric redundancy and for interpreting structural patterns across ecosystems.</w:t>
      </w:r>
    </w:p>
    <w:bookmarkEnd w:id="76"/>
    <w:bookmarkStart w:id="77" w:name="Xad7d45b1333a2fd236e1c6c9a9acd7bd855f2b7"/>
    <w:p>
      <w:pPr>
        <w:pStyle w:val="Heading2"/>
      </w:pPr>
      <w:r>
        <w:t xml:space="preserve">4.2 Reinterpreting the structure–stability debate</w:t>
      </w:r>
    </w:p>
    <w:p>
      <w:pPr>
        <w:pStyle w:val="BlockText"/>
      </w:pPr>
      <w:r>
        <w:t xml:space="preserve">e.g., May 1972 vs. McCann 2000 looks like a contradiction. However results suggest they were simply looking at different modules. May’s work focused on Return (spectral properties), while McCann focused on Persistence/Resistance (pathway dampening). By identifying these as independent axes in the PCA, we show that a network can be structurally complex (low return stability) but modularly dampened (high resistance).</w:t>
      </w:r>
    </w:p>
    <w:p>
      <w:pPr>
        <w:pStyle w:val="FirstParagraph"/>
      </w:pPr>
      <w:r>
        <w:t xml:space="preserve">The multidimensional nature of network structure has important implications for how stability relationships are interpreted. Much of the historical debate surrounding ecological stability has implicitly treated “structure” as a single explanatory variable. Studies typically select one or a small number of metrics and evaluate their relationship with a particular stability measure. However, if structural descriptors capture different architectural dimensions, then such analyses effectively examine different slices of structural space.</w:t>
      </w:r>
    </w:p>
    <w:p>
      <w:pPr>
        <w:pStyle w:val="BodyText"/>
      </w:pPr>
      <w:r>
        <w:t xml:space="preserve">Under this interpretation, apparently conflicting results across studies become less surprising. A study focusing on connectance may capture variation in trophic integration, while another emphasising motif frequencies may instead reflect changes in network expansion and pathway complexity. Each metric may relate to stability through different mechanisms, yet comparisons between them have often been framed as competing tests of the same hypothesis. Rather than asking which structural metric best predicts stability, it may therefore be more productive to ask which dimension of network architecture is relevant to a given stability mechanism. Stability itself is a multidimensional property, encompassing processes such as persistence, resistance to disturbance, and the reorganisation of interaction pathways following perturbation. Different structural domains may influence these processes through distinct ecological mechanisms. Our analysis does not attempt to resolve which particular metrics control specific stability outcomes. Instead, it highlights the need to reframe the problem: understanding ecological stability requires considering how multiple structural dimensions interact with different dynamical processes.</w:t>
      </w:r>
    </w:p>
    <w:bookmarkEnd w:id="77"/>
    <w:bookmarkStart w:id="78" w:name="X815e10819c719fd889b2df0b0165ed3bc35efe2"/>
    <w:p>
      <w:pPr>
        <w:pStyle w:val="Heading2"/>
      </w:pPr>
      <w:r>
        <w:t xml:space="preserve">4.3 Implications for the design of network analyses</w:t>
      </w:r>
    </w:p>
    <w:p>
      <w:pPr>
        <w:pStyle w:val="FirstParagraph"/>
      </w:pPr>
      <w:r>
        <w:t xml:space="preserve">Recognising the multidimensional structure of food webs has practical implications for ecological analysis. First, it suggests that the common practice of selecting individual network metrics in isolation may obscure important structural relationships. Because many metrics capture overlapping aspects of network architecture, analyses based on a single descriptor may inadvertently reflect broader structural domains. Second, dimensionality reduction approaches provide a useful framework for representing network structure more coherently. By identifying modules of related metrics or latent axes of structural variation, researchers can characterise the major architectural gradients that define network organisation. Such approaches preserve the diversity of structural features while avoiding redundancy among descriptors. Finally, this perspective encourages a shift from metric-driven analyses toward process-driven structural representation. Rather than selecting metrics based on convention, analyses can instead focus on structural domains most relevant to the ecological process under investigation. This approach may provide clearer mechanistic insight into how network architecture shapes ecosystem dynamics.</w:t>
      </w:r>
    </w:p>
    <w:bookmarkEnd w:id="78"/>
    <w:bookmarkStart w:id="79" w:name="X52687e34ca02f886d47f2b738d6800472257c16"/>
    <w:p>
      <w:pPr>
        <w:pStyle w:val="Heading2"/>
      </w:pPr>
      <w:r>
        <w:t xml:space="preserve">4.4 Toward a structural framework for ecological networks</w:t>
      </w:r>
    </w:p>
    <w:p>
      <w:pPr>
        <w:pStyle w:val="FirstParagraph"/>
      </w:pPr>
      <w:r>
        <w:t xml:space="preserve">The results presented here suggest that the architecture of ecological networks can be understood as a low-dimensional structural system emerging from the interactions among species and their trophic roles. Within this system, individual metrics represent different projections of a broader architectural space. Recognising this structure does not eliminate the complexity of ecological networks, but it provides a way to organise and interpret that complexity more coherently. More broadly, this perspective highlights the importance of treating network structure as a multivariate ecological property rather than a collection of independent descriptors. Just as biodiversity is now understood through multiple complementary dimensions, including richness, composition, and functional traits, the structure of ecological networks may be best described through a set of interacting architectural domains. Future work linking network structure to ecosystem dynamics may therefore benefit from explicitly considering this multidimensional framework. By aligning structural dimensions with ecological processes and dynamical mechanisms, it may be possible to move beyond debates over individual metrics and toward a more unified understanding of how interaction networks shape the stability of ecological systems.</w:t>
      </w:r>
    </w:p>
    <w:bookmarkEnd w:id="79"/>
    <w:bookmarkEnd w:id="80"/>
    <w:bookmarkStart w:id="81" w:name="conclusion"/>
    <w:p>
      <w:pPr>
        <w:pStyle w:val="Heading1"/>
      </w:pPr>
      <w:r>
        <w:t xml:space="preserve">5. Conclusion</w:t>
      </w:r>
    </w:p>
    <w:p>
      <w:pPr>
        <w:pStyle w:val="FirstParagraph"/>
      </w:pPr>
      <w:r>
        <w:t xml:space="preserve">The long-standing structure–stability debate in ecology may not reflect disagreement about ecological mechanisms, but rather the fact that network structure itself is multidimensional, and different studies have examined different dimensions of the same architectural system.</w:t>
      </w:r>
    </w:p>
    <w:bookmarkEnd w:id="81"/>
    <w:bookmarkStart w:id="113" w:name="references"/>
    <w:p>
      <w:pPr>
        <w:pStyle w:val="Heading1"/>
      </w:pPr>
      <w:r>
        <w:t xml:space="preserve">References</w:t>
      </w:r>
    </w:p>
    <w:bookmarkStart w:id="112" w:name="refs"/>
    <w:bookmarkStart w:id="83" w:name="ref-vermaatMajorDimensionsFoodweb2009"/>
    <w:p>
      <w:pPr>
        <w:pStyle w:val="Bibliography"/>
      </w:pPr>
      <w:r>
        <w:t xml:space="preserve">1.</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82">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83"/>
    <w:bookmarkStart w:id="85" w:name="ref-lauEcologicalNetworkMetrics2017"/>
    <w:p>
      <w:pPr>
        <w:pStyle w:val="Bibliography"/>
      </w:pPr>
      <w:r>
        <w:t xml:space="preserve">2.</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84">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85"/>
    <w:bookmarkStart w:id="87" w:name="ref-ivesStabilityDiversityEcosystems2007"/>
    <w:p>
      <w:pPr>
        <w:pStyle w:val="Bibliography"/>
      </w:pPr>
      <w:r>
        <w:t xml:space="preserve">3.</w:t>
      </w:r>
      <w:r>
        <w:t xml:space="preserve"> </w:t>
      </w:r>
      <w:r>
        <w:t xml:space="preserve">	</w:t>
      </w:r>
      <w:r>
        <w:t xml:space="preserve">Ives, A.R. and Carpenter, S.R. (2007)</w:t>
      </w:r>
      <w:r>
        <w:t xml:space="preserve"> </w:t>
      </w:r>
      <w:hyperlink r:id="rId86">
        <w:r>
          <w:rPr>
            <w:rStyle w:val="Hyperlink"/>
          </w:rPr>
          <w:t xml:space="preserve">Stability and</w:t>
        </w:r>
        <w:r>
          <w:rPr>
            <w:rStyle w:val="Hyperlink"/>
          </w:rPr>
          <w:t xml:space="preserve"> </w:t>
        </w:r>
        <w:r>
          <w:rPr>
            <w:rStyle w:val="Hyperlink"/>
          </w:rPr>
          <w:t xml:space="preserve">Diversity</w:t>
        </w:r>
        <w:r>
          <w:rPr>
            <w:rStyle w:val="Hyperlink"/>
          </w:rPr>
          <w:t xml:space="preserve"> </w:t>
        </w:r>
        <w:r>
          <w:rPr>
            <w:rStyle w:val="Hyperlink"/>
          </w:rPr>
          <w:t xml:space="preserve">of</w:t>
        </w:r>
        <w:r>
          <w:rPr>
            <w:rStyle w:val="Hyperlink"/>
          </w:rPr>
          <w:t xml:space="preserve"> </w:t>
        </w:r>
        <w:r>
          <w:rPr>
            <w:rStyle w:val="Hyperlink"/>
          </w:rPr>
          <w:t xml:space="preserve">Ecosystems</w:t>
        </w:r>
      </w:hyperlink>
      <w:r>
        <w:t xml:space="preserve">.</w:t>
      </w:r>
      <w:r>
        <w:t xml:space="preserve"> </w:t>
      </w:r>
      <w:r>
        <w:rPr>
          <w:i/>
          <w:iCs/>
        </w:rPr>
        <w:t xml:space="preserve">Science</w:t>
      </w:r>
      <w:r>
        <w:t xml:space="preserve"> </w:t>
      </w:r>
      <w:r>
        <w:t xml:space="preserve">317, 58–62</w:t>
      </w:r>
    </w:p>
    <w:bookmarkEnd w:id="87"/>
    <w:bookmarkStart w:id="89" w:name="ref-thompsonFoodWebsReconciling2012"/>
    <w:p>
      <w:pPr>
        <w:pStyle w:val="Bibliography"/>
      </w:pPr>
      <w:r>
        <w:t xml:space="preserve">4.</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88">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89"/>
    <w:bookmarkStart w:id="91" w:name="ref-allesinaStabilityCriteriaComplex2012"/>
    <w:p>
      <w:pPr>
        <w:pStyle w:val="Bibliography"/>
      </w:pPr>
      <w:r>
        <w:t xml:space="preserve">5.</w:t>
      </w:r>
      <w:r>
        <w:t xml:space="preserve"> </w:t>
      </w:r>
      <w:r>
        <w:t xml:space="preserve">	</w:t>
      </w:r>
      <w:r>
        <w:t xml:space="preserve">Allesina, S. and Tang, S. (2012)</w:t>
      </w:r>
      <w:r>
        <w:t xml:space="preserve"> </w:t>
      </w:r>
      <w:hyperlink r:id="rId90">
        <w:r>
          <w:rPr>
            <w:rStyle w:val="Hyperlink"/>
          </w:rPr>
          <w:t xml:space="preserve">Stability criteria for complex ecosystems</w:t>
        </w:r>
      </w:hyperlink>
      <w:r>
        <w:t xml:space="preserve">.</w:t>
      </w:r>
      <w:r>
        <w:t xml:space="preserve"> </w:t>
      </w:r>
      <w:r>
        <w:rPr>
          <w:i/>
          <w:iCs/>
        </w:rPr>
        <w:t xml:space="preserve">Nature</w:t>
      </w:r>
      <w:r>
        <w:t xml:space="preserve"> </w:t>
      </w:r>
      <w:r>
        <w:t xml:space="preserve">483, 205–208</w:t>
      </w:r>
    </w:p>
    <w:bookmarkEnd w:id="91"/>
    <w:bookmarkStart w:id="93" w:name="ref-williamsLimitsTrophicLevels2004"/>
    <w:p>
      <w:pPr>
        <w:pStyle w:val="Bibliography"/>
      </w:pPr>
      <w:r>
        <w:t xml:space="preserve">6.</w:t>
      </w:r>
      <w:r>
        <w:t xml:space="preserve"> </w:t>
      </w:r>
      <w:r>
        <w:t xml:space="preserve">	</w:t>
      </w:r>
      <w:r>
        <w:t xml:space="preserve">Williams, R.J. and Martinez, N.D. (2004)</w:t>
      </w:r>
      <w:r>
        <w:t xml:space="preserve"> </w:t>
      </w:r>
      <w:hyperlink r:id="rId92">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93"/>
    <w:bookmarkStart w:id="95" w:name="X781f7e482417d8f33d808967da8cf24a047c245"/>
    <w:p>
      <w:pPr>
        <w:pStyle w:val="Bibliography"/>
      </w:pPr>
      <w:r>
        <w:t xml:space="preserve">7.</w:t>
      </w:r>
      <w:r>
        <w:t xml:space="preserve"> </w:t>
      </w:r>
      <w:r>
        <w:t xml:space="preserve">	</w:t>
      </w:r>
      <w:r>
        <w:t xml:space="preserve">Yodzis, P. and Winemiller, K.O. (1999)</w:t>
      </w:r>
      <w:r>
        <w:t xml:space="preserve"> </w:t>
      </w:r>
      <w:hyperlink r:id="rId94">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95"/>
    <w:bookmarkStart w:id="97" w:name="ref-estradaUsingNetworkCentrality2008"/>
    <w:p>
      <w:pPr>
        <w:pStyle w:val="Bibliography"/>
      </w:pPr>
      <w:r>
        <w:t xml:space="preserve">8.</w:t>
      </w:r>
      <w:r>
        <w:t xml:space="preserve"> </w:t>
      </w:r>
      <w:r>
        <w:t xml:space="preserve">	</w:t>
      </w:r>
      <w:r>
        <w:t xml:space="preserve">Estrada, E. and Bodin, Ö. (2008)</w:t>
      </w:r>
      <w:r>
        <w:t xml:space="preserve"> </w:t>
      </w:r>
      <w:hyperlink r:id="rId96">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97"/>
    <w:bookmarkStart w:id="99" w:name="ref-mccannDiversityStabilityDebate2000"/>
    <w:p>
      <w:pPr>
        <w:pStyle w:val="Bibliography"/>
      </w:pPr>
      <w:r>
        <w:t xml:space="preserve">9.</w:t>
      </w:r>
      <w:r>
        <w:t xml:space="preserve"> </w:t>
      </w:r>
      <w:r>
        <w:t xml:space="preserve">	</w:t>
      </w:r>
      <w:r>
        <w:t xml:space="preserve">McCann, K.S. (2000)</w:t>
      </w:r>
      <w:r>
        <w:t xml:space="preserve"> </w:t>
      </w:r>
      <w:hyperlink r:id="rId98">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99"/>
    <w:bookmarkStart w:id="101" w:name="X5f45a7a099d08070703fc184810d23dd2e88abd"/>
    <w:p>
      <w:pPr>
        <w:pStyle w:val="Bibliography"/>
      </w:pPr>
      <w:r>
        <w:t xml:space="preserve">10.</w:t>
      </w:r>
      <w:r>
        <w:t xml:space="preserve"> </w:t>
      </w:r>
      <w:r>
        <w:t xml:space="preserve">	</w:t>
      </w:r>
      <w:r>
        <w:t xml:space="preserve">Watts, D.J. and Strogatz, S.H. (1998)</w:t>
      </w:r>
      <w:r>
        <w:t xml:space="preserve"> </w:t>
      </w:r>
      <w:hyperlink r:id="rId100">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101"/>
    <w:bookmarkStart w:id="103" w:name="ref-stoufferRobustMeasureFood2006a"/>
    <w:p>
      <w:pPr>
        <w:pStyle w:val="Bibliography"/>
      </w:pPr>
      <w:r>
        <w:t xml:space="preserve">11.</w:t>
      </w:r>
      <w:r>
        <w:t xml:space="preserve"> </w:t>
      </w:r>
      <w:r>
        <w:t xml:space="preserve">	</w:t>
      </w:r>
      <w:r>
        <w:t xml:space="preserve">Stouffer, D.B.</w:t>
      </w:r>
      <w:r>
        <w:t xml:space="preserve"> </w:t>
      </w:r>
      <w:r>
        <w:rPr>
          <w:i/>
          <w:iCs/>
        </w:rPr>
        <w:t xml:space="preserve">et al.</w:t>
      </w:r>
      <w:r>
        <w:t xml:space="preserve"> </w:t>
      </w:r>
      <w:r>
        <w:t xml:space="preserve">(2006)</w:t>
      </w:r>
      <w:r>
        <w:t xml:space="preserve"> </w:t>
      </w:r>
      <w:hyperlink r:id="rId102">
        <w:r>
          <w:rPr>
            <w:rStyle w:val="Hyperlink"/>
          </w:rPr>
          <w:t xml:space="preserve">A robust measure of food web intervality</w:t>
        </w:r>
      </w:hyperlink>
      <w:r>
        <w:t xml:space="preserve">.</w:t>
      </w:r>
      <w:r>
        <w:t xml:space="preserve"> </w:t>
      </w:r>
      <w:r>
        <w:rPr>
          <w:i/>
          <w:iCs/>
        </w:rPr>
        <w:t xml:space="preserve">Proc. Natl. Acad. Sci. U.S.A.</w:t>
      </w:r>
      <w:r>
        <w:t xml:space="preserve"> </w:t>
      </w:r>
      <w:r>
        <w:t xml:space="preserve">103, 19015–19020</w:t>
      </w:r>
    </w:p>
    <w:bookmarkEnd w:id="103"/>
    <w:bookmarkStart w:id="105" w:name="ref-strydomSVDEntropyReveals2021"/>
    <w:p>
      <w:pPr>
        <w:pStyle w:val="Bibliography"/>
      </w:pPr>
      <w:r>
        <w:t xml:space="preserve">12.</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104">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105"/>
    <w:bookmarkStart w:id="107" w:name="ref-jonssonReliabilityR50Measure2015"/>
    <w:p>
      <w:pPr>
        <w:pStyle w:val="Bibliography"/>
      </w:pPr>
      <w:r>
        <w:t xml:space="preserve">13.</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106">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107"/>
    <w:bookmarkStart w:id="109" w:name="ref-stoufferEvidenceExistenceRobust2007"/>
    <w:p>
      <w:pPr>
        <w:pStyle w:val="Bibliography"/>
      </w:pPr>
      <w:r>
        <w:t xml:space="preserve">14.</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108">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109"/>
    <w:bookmarkStart w:id="111" w:name="ref-miloNetworkMotifsSimple2002"/>
    <w:p>
      <w:pPr>
        <w:pStyle w:val="Bibliography"/>
      </w:pPr>
      <w:r>
        <w:t xml:space="preserve">15.</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110">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111"/>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image" Id="rId50" Target="media/rId50.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32" Target="media/rId32.png" /><Relationship Type="http://schemas.openxmlformats.org/officeDocument/2006/relationships/hyperlink" Id="rId84" Target="https://doi.org/10.1002/ecs2.1900" TargetMode="External" /><Relationship Type="http://schemas.openxmlformats.org/officeDocument/2006/relationships/hyperlink" Id="rId88" Target="https://doi.org/10.1016/j.tree.2012.08.005" TargetMode="External" /><Relationship Type="http://schemas.openxmlformats.org/officeDocument/2006/relationships/hyperlink" Id="rId100" Target="https://doi.org/10.1038/30918" TargetMode="External" /><Relationship Type="http://schemas.openxmlformats.org/officeDocument/2006/relationships/hyperlink" Id="rId98" Target="https://doi.org/10.1038/35012234" TargetMode="External" /><Relationship Type="http://schemas.openxmlformats.org/officeDocument/2006/relationships/hyperlink" Id="rId90" Target="https://doi.org/10.1038/nature10832" TargetMode="External" /><Relationship Type="http://schemas.openxmlformats.org/officeDocument/2006/relationships/hyperlink" Id="rId102" Target="https://doi.org/10.1073/pnas.0603844103" TargetMode="External" /><Relationship Type="http://schemas.openxmlformats.org/officeDocument/2006/relationships/hyperlink" Id="rId92" Target="https://doi.org/10.1086/381964" TargetMode="External" /><Relationship Type="http://schemas.openxmlformats.org/officeDocument/2006/relationships/hyperlink" Id="rId108" Target="https://doi.org/10.1098/rspb.2007.0571" TargetMode="External" /><Relationship Type="http://schemas.openxmlformats.org/officeDocument/2006/relationships/hyperlink" Id="rId106" Target="https://doi.org/10.1111/oik.01588" TargetMode="External" /><Relationship Type="http://schemas.openxmlformats.org/officeDocument/2006/relationships/hyperlink" Id="rId86" Target="https://doi.org/10.1126/science.1133258" TargetMode="External" /><Relationship Type="http://schemas.openxmlformats.org/officeDocument/2006/relationships/hyperlink" Id="rId110" Target="https://doi.org/10.1126/science.298.5594.824" TargetMode="External" /><Relationship Type="http://schemas.openxmlformats.org/officeDocument/2006/relationships/hyperlink" Id="rId82" Target="https://doi.org/10.1890/07-0978.1" TargetMode="External" /><Relationship Type="http://schemas.openxmlformats.org/officeDocument/2006/relationships/hyperlink" Id="rId96" Target="https://doi.org/10.1890/07-1419.1" TargetMode="External" /><Relationship Type="http://schemas.openxmlformats.org/officeDocument/2006/relationships/hyperlink" Id="rId94" Target="https://doi.org/10.2307/3546748" TargetMode="External" /><Relationship Type="http://schemas.openxmlformats.org/officeDocument/2006/relationships/hyperlink" Id="rId104"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1002/ecs2.1900" TargetMode="External" /><Relationship Type="http://schemas.openxmlformats.org/officeDocument/2006/relationships/hyperlink" Id="rId88" Target="https://doi.org/10.1016/j.tree.2012.08.005" TargetMode="External" /><Relationship Type="http://schemas.openxmlformats.org/officeDocument/2006/relationships/hyperlink" Id="rId100" Target="https://doi.org/10.1038/30918" TargetMode="External" /><Relationship Type="http://schemas.openxmlformats.org/officeDocument/2006/relationships/hyperlink" Id="rId98" Target="https://doi.org/10.1038/35012234" TargetMode="External" /><Relationship Type="http://schemas.openxmlformats.org/officeDocument/2006/relationships/hyperlink" Id="rId90" Target="https://doi.org/10.1038/nature10832" TargetMode="External" /><Relationship Type="http://schemas.openxmlformats.org/officeDocument/2006/relationships/hyperlink" Id="rId102" Target="https://doi.org/10.1073/pnas.0603844103" TargetMode="External" /><Relationship Type="http://schemas.openxmlformats.org/officeDocument/2006/relationships/hyperlink" Id="rId92" Target="https://doi.org/10.1086/381964" TargetMode="External" /><Relationship Type="http://schemas.openxmlformats.org/officeDocument/2006/relationships/hyperlink" Id="rId108" Target="https://doi.org/10.1098/rspb.2007.0571" TargetMode="External" /><Relationship Type="http://schemas.openxmlformats.org/officeDocument/2006/relationships/hyperlink" Id="rId106" Target="https://doi.org/10.1111/oik.01588" TargetMode="External" /><Relationship Type="http://schemas.openxmlformats.org/officeDocument/2006/relationships/hyperlink" Id="rId86" Target="https://doi.org/10.1126/science.1133258" TargetMode="External" /><Relationship Type="http://schemas.openxmlformats.org/officeDocument/2006/relationships/hyperlink" Id="rId110" Target="https://doi.org/10.1126/science.298.5594.824" TargetMode="External" /><Relationship Type="http://schemas.openxmlformats.org/officeDocument/2006/relationships/hyperlink" Id="rId82" Target="https://doi.org/10.1890/07-0978.1" TargetMode="External" /><Relationship Type="http://schemas.openxmlformats.org/officeDocument/2006/relationships/hyperlink" Id="rId96" Target="https://doi.org/10.1890/07-1419.1" TargetMode="External" /><Relationship Type="http://schemas.openxmlformats.org/officeDocument/2006/relationships/hyperlink" Id="rId94" Target="https://doi.org/10.2307/3546748" TargetMode="External" /><Relationship Type="http://schemas.openxmlformats.org/officeDocument/2006/relationships/hyperlink" Id="rId104"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Ecological Network Structure Is Multidimensional: Rethinking the Stability Debate</dc:title>
  <dc:creator>Tanya Strydom; Andrew P. Beckerman</dc:creator>
  <cp:keywords>food web, structure, dimensionality reduction</cp:keywords>
  <dcterms:created xsi:type="dcterms:W3CDTF">2026-03-10T16:34:21Z</dcterms:created>
  <dcterms:modified xsi:type="dcterms:W3CDTF">2026-03-10T16:34:21Z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2026-03-10</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