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8.png" ContentType="image/png"/>
  <Override PartName="/word/media/rId43.png" ContentType="image/png"/>
  <Override PartName="/word/media/rId39.png" ContentType="image/png"/>
  <Override PartName="/word/media/rId31.png" ContentType="image/png"/>
  <Override PartName="/word/media/rId60.png" ContentType="image/png"/>
  <Override PartName="/word/media/rId5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2026-03-09</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23"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Start w:id="22"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7"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7"/>
    <w:bookmarkStart w:id="18"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8"/>
    <w:bookmarkStart w:id="19"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9"/>
    <w:bookmarkStart w:id="21"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20"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20"/>
    <w:bookmarkEnd w:id="21"/>
    <w:bookmarkEnd w:id="22"/>
    <w:bookmarkEnd w:id="23"/>
    <w:bookmarkStart w:id="66" w:name="results"/>
    <w:p>
      <w:pPr>
        <w:pStyle w:val="Heading1"/>
      </w:pPr>
      <w:r>
        <w:t xml:space="preserve">3. Results</w:t>
      </w:r>
    </w:p>
    <w:bookmarkStart w:id="28"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7" w:name="fig-cluster"/>
          <w:p>
            <w:pPr>
              <w:pStyle w:val="Compact"/>
              <w:jc w:val="center"/>
            </w:pPr>
            <w:r>
              <w:drawing>
                <wp:inline>
                  <wp:extent cx="5334000" cy="2667000"/>
                  <wp:effectExtent b="0" l="0" r="0" t="0"/>
                  <wp:docPr descr="" title="" id="25" name="Picture"/>
                  <a:graphic>
                    <a:graphicData uri="http://schemas.openxmlformats.org/drawingml/2006/picture">
                      <pic:pic>
                        <pic:nvPicPr>
                          <pic:cNvPr descr="figures/cluster_dendrogram.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7"/>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8"/>
    <w:bookmarkStart w:id="30"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9"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9"/>
          <w:p/>
        </w:tc>
      </w:tr>
    </w:tbl>
    <w:bookmarkEnd w:id="30"/>
    <w:bookmarkStart w:id="47"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4" w:name="fig-pca"/>
          <w:p>
            <w:pPr>
              <w:pStyle w:val="Compact"/>
              <w:jc w:val="center"/>
            </w:pPr>
            <w:r>
              <w:drawing>
                <wp:inline>
                  <wp:extent cx="5334000" cy="3413760"/>
                  <wp:effectExtent b="0" l="0" r="0" t="0"/>
                  <wp:docPr descr="" title="" id="32" name="Picture"/>
                  <a:graphic>
                    <a:graphicData uri="http://schemas.openxmlformats.org/drawingml/2006/picture">
                      <pic:pic>
                        <pic:nvPicPr>
                          <pic:cNvPr descr="figures/pca_loadings.png" id="33" name="Picture"/>
                          <pic:cNvPicPr>
                            <a:picLocks noChangeArrowheads="1" noChangeAspect="1"/>
                          </pic:cNvPicPr>
                        </pic:nvPicPr>
                        <pic:blipFill>
                          <a:blip r:embed="rId3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variance"/>
          <w:p>
            <w:pPr>
              <w:pStyle w:val="Compact"/>
              <w:jc w:val="center"/>
            </w:pPr>
            <w:r>
              <w:drawing>
                <wp:inline>
                  <wp:extent cx="5334000" cy="2133600"/>
                  <wp:effectExtent b="0" l="0" r="0" t="0"/>
                  <wp:docPr descr="" title="" id="36" name="Picture"/>
                  <a:graphic>
                    <a:graphicData uri="http://schemas.openxmlformats.org/drawingml/2006/picture">
                      <pic:pic>
                        <pic:nvPicPr>
                          <pic:cNvPr descr="figures/variance_explained.png" id="37"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8"/>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42" w:name="fig-alignment_heatmap"/>
          <w:p>
            <w:pPr>
              <w:pStyle w:val="Compact"/>
              <w:jc w:val="center"/>
            </w:pPr>
            <w:r>
              <w:drawing>
                <wp:inline>
                  <wp:extent cx="5334000" cy="2667000"/>
                  <wp:effectExtent b="0" l="0" r="0" t="0"/>
                  <wp:docPr descr="" title="" id="40" name="Picture"/>
                  <a:graphic>
                    <a:graphicData uri="http://schemas.openxmlformats.org/drawingml/2006/picture">
                      <pic:pic>
                        <pic:nvPicPr>
                          <pic:cNvPr descr="figures/module_alignment_heatmap.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42"/>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6" w:name="fig-alignment_signif"/>
          <w:p>
            <w:pPr>
              <w:pStyle w:val="Compact"/>
              <w:jc w:val="center"/>
            </w:pPr>
            <w:r>
              <w:drawing>
                <wp:inline>
                  <wp:extent cx="5334000" cy="2667000"/>
                  <wp:effectExtent b="0" l="0" r="0" t="0"/>
                  <wp:docPr descr="" title="" id="44" name="Picture"/>
                  <a:graphic>
                    <a:graphicData uri="http://schemas.openxmlformats.org/drawingml/2006/picture">
                      <pic:pic>
                        <pic:nvPicPr>
                          <pic:cNvPr descr="figures/heatmap_zscores.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6"/>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7"/>
    <w:bookmarkStart w:id="65" w:name="predictors-of-stability"/>
    <w:p>
      <w:pPr>
        <w:pStyle w:val="Heading2"/>
      </w:pPr>
      <w:r>
        <w:t xml:space="preserve">3.4 Predictors of stability</w:t>
      </w:r>
    </w:p>
    <w:bookmarkStart w:id="52"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033"/>
        <w:gridCol w:w="1926"/>
        <w:gridCol w:w="1926"/>
        <w:gridCol w:w="2033"/>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51" w:name="fig-dim_red"/>
          <w:p>
            <w:pPr>
              <w:pStyle w:val="Compact"/>
              <w:jc w:val="center"/>
            </w:pPr>
            <w:r>
              <w:drawing>
                <wp:inline>
                  <wp:extent cx="5334000" cy="6788727"/>
                  <wp:effectExtent b="0" l="0" r="0" t="0"/>
                  <wp:docPr descr="" title="" id="49" name="Picture"/>
                  <a:graphic>
                    <a:graphicData uri="http://schemas.openxmlformats.org/drawingml/2006/picture">
                      <pic:pic>
                        <pic:nvPicPr>
                          <pic:cNvPr descr="figures/fig_dimensional_reduction.png" id="50" name="Picture"/>
                          <pic:cNvPicPr>
                            <a:picLocks noChangeArrowheads="1" noChangeAspect="1"/>
                          </pic:cNvPicPr>
                        </pic:nvPicPr>
                        <pic:blipFill>
                          <a:blip r:embed="rId48"/>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51"/>
        </w:tc>
      </w:tr>
    </w:tbl>
    <w:bookmarkEnd w:id="52"/>
    <w:bookmarkStart w:id="59" w:name="Xc84dddb6d18a1e743db36dc7aa62f328aa8c858"/>
    <w:p>
      <w:pPr>
        <w:pStyle w:val="Heading3"/>
      </w:pPr>
      <w:r>
        <w:t xml:space="preserve">3.4.2 Predictive Performance Across Structural Representations</w:t>
      </w:r>
    </w:p>
    <w:bookmarkStart w:id="57"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6" w:name="fig-var_pred"/>
          <w:p>
            <w:pPr>
              <w:pStyle w:val="Compact"/>
              <w:jc w:val="center"/>
            </w:pPr>
            <w:r>
              <w:drawing>
                <wp:inline>
                  <wp:extent cx="5334000" cy="6788727"/>
                  <wp:effectExtent b="0" l="0" r="0" t="0"/>
                  <wp:docPr descr="" title="" id="54" name="Picture"/>
                  <a:graphic>
                    <a:graphicData uri="http://schemas.openxmlformats.org/drawingml/2006/picture">
                      <pic:pic>
                        <pic:nvPicPr>
                          <pic:cNvPr descr="figures/struct_stability_summ.png" id="55" name="Picture"/>
                          <pic:cNvPicPr>
                            <a:picLocks noChangeArrowheads="1" noChangeAspect="1"/>
                          </pic:cNvPicPr>
                        </pic:nvPicPr>
                        <pic:blipFill>
                          <a:blip r:embed="rId53"/>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Regularization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6"/>
        </w:tc>
      </w:tr>
    </w:tbl>
    <w:bookmarkEnd w:id="57"/>
    <w:bookmarkStart w:id="58"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8"/>
    <w:bookmarkEnd w:id="59"/>
    <w:bookmarkStart w:id="64"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3" w:name="fig-stab_corr"/>
          <w:p>
            <w:pPr>
              <w:pStyle w:val="Compact"/>
              <w:jc w:val="center"/>
            </w:pPr>
            <w:r>
              <w:drawing>
                <wp:inline>
                  <wp:extent cx="5334000" cy="4444999"/>
                  <wp:effectExtent b="0" l="0" r="0" t="0"/>
                  <wp:docPr descr="" title="" id="61" name="Picture"/>
                  <a:graphic>
                    <a:graphicData uri="http://schemas.openxmlformats.org/drawingml/2006/picture">
                      <pic:pic>
                        <pic:nvPicPr>
                          <pic:cNvPr descr="figures/struct_stability_coeff.png" id="62" name="Picture"/>
                          <pic:cNvPicPr>
                            <a:picLocks noChangeArrowheads="1" noChangeAspect="1"/>
                          </pic:cNvPicPr>
                        </pic:nvPicPr>
                        <pic:blipFill>
                          <a:blip r:embed="rId60"/>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3"/>
        </w:tc>
      </w:tr>
    </w:tbl>
    <w:bookmarkEnd w:id="64"/>
    <w:bookmarkEnd w:id="65"/>
    <w:bookmarkEnd w:id="66"/>
    <w:bookmarkStart w:id="73" w:name="discussion"/>
    <w:p>
      <w:pPr>
        <w:pStyle w:val="Heading1"/>
      </w:pPr>
      <w:r>
        <w:t xml:space="preserve">4. Discussion</w:t>
      </w:r>
    </w:p>
    <w:p>
      <w:pPr>
        <w:pStyle w:val="BlockText"/>
      </w:pPr>
      <w:r>
        <w:t xml:space="preserve">Something about</w:t>
      </w:r>
      <w:r>
        <w:t xml:space="preserve"> </w:t>
      </w:r>
      <w:r>
        <w:t xml:space="preserve">‘static’</w:t>
      </w:r>
      <w:r>
        <w:t xml:space="preserve"> </w:t>
      </w:r>
      <w:r>
        <w:t xml:space="preserve">structural metric that can be powerful from a biodiversity targets perspective</w:t>
      </w:r>
    </w:p>
    <w:bookmarkStart w:id="67"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67"/>
    <w:bookmarkStart w:id="68"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68"/>
    <w:bookmarkStart w:id="69"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69"/>
    <w:bookmarkStart w:id="70"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70"/>
    <w:bookmarkStart w:id="71"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71"/>
    <w:bookmarkStart w:id="72"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72"/>
    <w:bookmarkEnd w:id="73"/>
    <w:bookmarkStart w:id="76"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74"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Compartmentalisation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74"/>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75"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75"/>
          <w:p/>
        </w:tc>
      </w:tr>
    </w:tbl>
    <w:bookmarkEnd w:id="76"/>
    <w:bookmarkStart w:id="112" w:name="references"/>
    <w:p>
      <w:pPr>
        <w:pStyle w:val="Heading1"/>
      </w:pPr>
      <w:r>
        <w:t xml:space="preserve">References</w:t>
      </w:r>
    </w:p>
    <w:bookmarkStart w:id="111" w:name="refs"/>
    <w:bookmarkStart w:id="78" w:name="X364e9e1ae4fcdffd15c6495ab47a85eeafc0b8c"/>
    <w:p>
      <w:pPr>
        <w:pStyle w:val="Bibliography"/>
      </w:pPr>
      <w:r>
        <w:t xml:space="preserve">1.</w:t>
      </w:r>
      <w:r>
        <w:t xml:space="preserve"> </w:t>
      </w:r>
      <w:r>
        <w:t xml:space="preserve">	</w:t>
      </w:r>
      <w:r>
        <w:t xml:space="preserve">Stouffer, D.B. and Bascompte, J. (2011)</w:t>
      </w:r>
      <w:r>
        <w:t xml:space="preserve"> </w:t>
      </w:r>
      <w:hyperlink r:id="rId77">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78"/>
    <w:bookmarkStart w:id="80"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9">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80"/>
    <w:bookmarkStart w:id="82"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1">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2"/>
    <w:bookmarkStart w:id="84"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3">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4"/>
    <w:bookmarkStart w:id="86" w:name="ref-williamsLimitsTrophicLevels2004"/>
    <w:p>
      <w:pPr>
        <w:pStyle w:val="Bibliography"/>
      </w:pPr>
      <w:r>
        <w:t xml:space="preserve">5.</w:t>
      </w:r>
      <w:r>
        <w:t xml:space="preserve"> </w:t>
      </w:r>
      <w:r>
        <w:t xml:space="preserve">	</w:t>
      </w:r>
      <w:r>
        <w:t xml:space="preserve">Williams, R.J. and Martinez, N.D. (2004)</w:t>
      </w:r>
      <w:r>
        <w:t xml:space="preserve"> </w:t>
      </w:r>
      <w:hyperlink r:id="rId85">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86"/>
    <w:bookmarkStart w:id="88" w:name="X781f7e482417d8f33d808967da8cf24a047c245"/>
    <w:p>
      <w:pPr>
        <w:pStyle w:val="Bibliography"/>
      </w:pPr>
      <w:r>
        <w:t xml:space="preserve">6.</w:t>
      </w:r>
      <w:r>
        <w:t xml:space="preserve"> </w:t>
      </w:r>
      <w:r>
        <w:t xml:space="preserve">	</w:t>
      </w:r>
      <w:r>
        <w:t xml:space="preserve">Yodzis, P. and Winemiller, K.O. (1999)</w:t>
      </w:r>
      <w:r>
        <w:t xml:space="preserve"> </w:t>
      </w:r>
      <w:hyperlink r:id="rId87">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88"/>
    <w:bookmarkStart w:id="90" w:name="ref-estradaUsingNetworkCentrality2008"/>
    <w:p>
      <w:pPr>
        <w:pStyle w:val="Bibliography"/>
      </w:pPr>
      <w:r>
        <w:t xml:space="preserve">7.</w:t>
      </w:r>
      <w:r>
        <w:t xml:space="preserve"> </w:t>
      </w:r>
      <w:r>
        <w:t xml:space="preserve">	</w:t>
      </w:r>
      <w:r>
        <w:t xml:space="preserve">Estrada, E. and Bodin, Ö. (2008)</w:t>
      </w:r>
      <w:r>
        <w:t xml:space="preserve"> </w:t>
      </w:r>
      <w:hyperlink r:id="rId89">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90"/>
    <w:bookmarkStart w:id="92" w:name="ref-mccannDiversityStabilityDebate2000"/>
    <w:p>
      <w:pPr>
        <w:pStyle w:val="Bibliography"/>
      </w:pPr>
      <w:r>
        <w:t xml:space="preserve">8.</w:t>
      </w:r>
      <w:r>
        <w:t xml:space="preserve"> </w:t>
      </w:r>
      <w:r>
        <w:t xml:space="preserve">	</w:t>
      </w:r>
      <w:r>
        <w:t xml:space="preserve">McCann, K.S. (2000)</w:t>
      </w:r>
      <w:r>
        <w:t xml:space="preserve"> </w:t>
      </w:r>
      <w:hyperlink r:id="rId91">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2"/>
    <w:bookmarkStart w:id="94" w:name="X5f45a7a099d08070703fc184810d23dd2e88abd"/>
    <w:p>
      <w:pPr>
        <w:pStyle w:val="Bibliography"/>
      </w:pPr>
      <w:r>
        <w:t xml:space="preserve">9.</w:t>
      </w:r>
      <w:r>
        <w:t xml:space="preserve"> </w:t>
      </w:r>
      <w:r>
        <w:t xml:space="preserve">	</w:t>
      </w:r>
      <w:r>
        <w:t xml:space="preserve">Watts, D.J. and Strogatz, S.H. (1998)</w:t>
      </w:r>
      <w:r>
        <w:t xml:space="preserve"> </w:t>
      </w:r>
      <w:hyperlink r:id="rId93">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94"/>
    <w:bookmarkStart w:id="96"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95">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96"/>
    <w:bookmarkStart w:id="98"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97">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98"/>
    <w:bookmarkStart w:id="100"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9">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00"/>
    <w:bookmarkStart w:id="102"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01">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02"/>
    <w:bookmarkStart w:id="104"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03">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04"/>
    <w:bookmarkStart w:id="106"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105">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106"/>
    <w:bookmarkStart w:id="108"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107">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108"/>
    <w:bookmarkStart w:id="110" w:name="Xd412d50b01317b0aa54d10c40af293c2515ab19"/>
    <w:p>
      <w:pPr>
        <w:pStyle w:val="Bibliography"/>
      </w:pPr>
      <w:r>
        <w:t xml:space="preserve">17.</w:t>
      </w:r>
      <w:r>
        <w:t xml:space="preserve"> </w:t>
      </w:r>
      <w:r>
        <w:t xml:space="preserve">	</w:t>
      </w:r>
      <w:r>
        <w:t xml:space="preserve">Ulanowicz, R.E. (2001)</w:t>
      </w:r>
      <w:r>
        <w:t xml:space="preserve"> </w:t>
      </w:r>
      <w:hyperlink r:id="rId109">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60" Target="media/rId60.png" /><Relationship Type="http://schemas.openxmlformats.org/officeDocument/2006/relationships/image" Id="rId53" Target="media/rId53.png" /><Relationship Type="http://schemas.openxmlformats.org/officeDocument/2006/relationships/image" Id="rId35" Target="media/rId35.png" /><Relationship Type="http://schemas.openxmlformats.org/officeDocument/2006/relationships/hyperlink" Id="rId81" Target="https://doi.org/10.1002/ecs2.1900" TargetMode="External" /><Relationship Type="http://schemas.openxmlformats.org/officeDocument/2006/relationships/hyperlink" Id="rId109" Target="https://doi.org/10.1016/S0097-8485(01)00073-0" TargetMode="External" /><Relationship Type="http://schemas.openxmlformats.org/officeDocument/2006/relationships/hyperlink" Id="rId79" Target="https://doi.org/10.1016/j.tree.2012.08.005" TargetMode="External" /><Relationship Type="http://schemas.openxmlformats.org/officeDocument/2006/relationships/hyperlink" Id="rId93" Target="https://doi.org/10.1038/30918" TargetMode="External" /><Relationship Type="http://schemas.openxmlformats.org/officeDocument/2006/relationships/hyperlink" Id="rId91" Target="https://doi.org/10.1038/35012234" TargetMode="External" /><Relationship Type="http://schemas.openxmlformats.org/officeDocument/2006/relationships/hyperlink" Id="rId95" Target="https://doi.org/10.1073/pnas.0603844103" TargetMode="External" /><Relationship Type="http://schemas.openxmlformats.org/officeDocument/2006/relationships/hyperlink" Id="rId77" Target="https://doi.org/10.1073/pnas.1014353108" TargetMode="External" /><Relationship Type="http://schemas.openxmlformats.org/officeDocument/2006/relationships/hyperlink" Id="rId105" Target="https://doi.org/10.1073/pnas.192407699" TargetMode="External" /><Relationship Type="http://schemas.openxmlformats.org/officeDocument/2006/relationships/hyperlink" Id="rId85" Target="https://doi.org/10.1086/381964" TargetMode="External" /><Relationship Type="http://schemas.openxmlformats.org/officeDocument/2006/relationships/hyperlink" Id="rId101" Target="https://doi.org/10.1098/rspb.2007.0571" TargetMode="External" /><Relationship Type="http://schemas.openxmlformats.org/officeDocument/2006/relationships/hyperlink" Id="rId99" Target="https://doi.org/10.1111/oik.01588" TargetMode="External" /><Relationship Type="http://schemas.openxmlformats.org/officeDocument/2006/relationships/hyperlink" Id="rId107" Target="https://doi.org/10.1126/science.1068326" TargetMode="External" /><Relationship Type="http://schemas.openxmlformats.org/officeDocument/2006/relationships/hyperlink" Id="rId103" Target="https://doi.org/10.1126/science.298.5594.824" TargetMode="External" /><Relationship Type="http://schemas.openxmlformats.org/officeDocument/2006/relationships/hyperlink" Id="rId83" Target="https://doi.org/10.1890/07-0978.1" TargetMode="External" /><Relationship Type="http://schemas.openxmlformats.org/officeDocument/2006/relationships/hyperlink" Id="rId89" Target="https://doi.org/10.1890/07-1419.1" TargetMode="External" /><Relationship Type="http://schemas.openxmlformats.org/officeDocument/2006/relationships/hyperlink" Id="rId87" Target="https://doi.org/10.2307/3546748" TargetMode="External" /><Relationship Type="http://schemas.openxmlformats.org/officeDocument/2006/relationships/hyperlink" Id="rId97"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2/ecs2.1900" TargetMode="External" /><Relationship Type="http://schemas.openxmlformats.org/officeDocument/2006/relationships/hyperlink" Id="rId109" Target="https://doi.org/10.1016/S0097-8485(01)00073-0" TargetMode="External" /><Relationship Type="http://schemas.openxmlformats.org/officeDocument/2006/relationships/hyperlink" Id="rId79" Target="https://doi.org/10.1016/j.tree.2012.08.005" TargetMode="External" /><Relationship Type="http://schemas.openxmlformats.org/officeDocument/2006/relationships/hyperlink" Id="rId93" Target="https://doi.org/10.1038/30918" TargetMode="External" /><Relationship Type="http://schemas.openxmlformats.org/officeDocument/2006/relationships/hyperlink" Id="rId91" Target="https://doi.org/10.1038/35012234" TargetMode="External" /><Relationship Type="http://schemas.openxmlformats.org/officeDocument/2006/relationships/hyperlink" Id="rId95" Target="https://doi.org/10.1073/pnas.0603844103" TargetMode="External" /><Relationship Type="http://schemas.openxmlformats.org/officeDocument/2006/relationships/hyperlink" Id="rId77" Target="https://doi.org/10.1073/pnas.1014353108" TargetMode="External" /><Relationship Type="http://schemas.openxmlformats.org/officeDocument/2006/relationships/hyperlink" Id="rId105" Target="https://doi.org/10.1073/pnas.192407699" TargetMode="External" /><Relationship Type="http://schemas.openxmlformats.org/officeDocument/2006/relationships/hyperlink" Id="rId85" Target="https://doi.org/10.1086/381964" TargetMode="External" /><Relationship Type="http://schemas.openxmlformats.org/officeDocument/2006/relationships/hyperlink" Id="rId101" Target="https://doi.org/10.1098/rspb.2007.0571" TargetMode="External" /><Relationship Type="http://schemas.openxmlformats.org/officeDocument/2006/relationships/hyperlink" Id="rId99" Target="https://doi.org/10.1111/oik.01588" TargetMode="External" /><Relationship Type="http://schemas.openxmlformats.org/officeDocument/2006/relationships/hyperlink" Id="rId107" Target="https://doi.org/10.1126/science.1068326" TargetMode="External" /><Relationship Type="http://schemas.openxmlformats.org/officeDocument/2006/relationships/hyperlink" Id="rId103" Target="https://doi.org/10.1126/science.298.5594.824" TargetMode="External" /><Relationship Type="http://schemas.openxmlformats.org/officeDocument/2006/relationships/hyperlink" Id="rId83" Target="https://doi.org/10.1890/07-0978.1" TargetMode="External" /><Relationship Type="http://schemas.openxmlformats.org/officeDocument/2006/relationships/hyperlink" Id="rId89" Target="https://doi.org/10.1890/07-1419.1" TargetMode="External" /><Relationship Type="http://schemas.openxmlformats.org/officeDocument/2006/relationships/hyperlink" Id="rId87" Target="https://doi.org/10.2307/3546748" TargetMode="External" /><Relationship Type="http://schemas.openxmlformats.org/officeDocument/2006/relationships/hyperlink" Id="rId97"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2026-03-09T16:45:03Z</dcterms:created>
  <dcterms:modified xsi:type="dcterms:W3CDTF">2026-03-09T16:45:03Z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2026-03-09</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