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Finding the mjor descriptors of species networks</w:t>
      </w:r>
    </w:p>
    <w:p>
      <w:pPr>
        <w:pStyle w:val="Author"/>
      </w:pPr>
      <w:r>
        <w:t xml:space="preserve">Tanya Strydom</w:t>
      </w:r>
    </w:p>
    <w:p>
      <w:pPr>
        <w:pStyle w:val="Author"/>
      </w:pPr>
      <w:r>
        <w:t xml:space="preserve">Andrew P. Beckerman</w:t>
      </w:r>
    </w:p>
    <w:p>
      <w:pPr>
        <w:pStyle w:val="Date"/>
      </w:pPr>
      <w:r>
        <w:t xml:space="preserve">2025-06-30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p>
      <w:pPr>
        <w:pStyle w:val="FirstParagraph"/>
      </w:pPr>
      <w:r>
        <w:t xml:space="preserve">Blah blah blah</w:t>
      </w:r>
      <w:r>
        <w:t xml:space="preserve"> </w:t>
      </w:r>
      <w:r>
        <w:t xml:space="preserve">[1]</w:t>
      </w:r>
    </w:p>
    <w:p>
      <w:pPr>
        <w:pStyle w:val="BodyText"/>
      </w:pPr>
      <w:r>
        <w:rPr>
          <w:i/>
          <w:iCs/>
        </w:rPr>
        <w:t xml:space="preserve">“It is incumbent on network ecologists to establish clearly the independence and uniqueness of the descriptive metrics used.”</w:t>
      </w:r>
      <w:r>
        <w:t xml:space="preserve"> </w:t>
      </w:r>
      <w:r>
        <w:t xml:space="preserve">-</w:t>
      </w:r>
      <w:r>
        <w:t xml:space="preserve"> </w:t>
      </w:r>
      <w:r>
        <w:t xml:space="preserve">[2]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propert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informative caption about the different network properties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4"/>
              <w:gridCol w:w="2565"/>
              <w:gridCol w:w="1784"/>
              <w:gridCol w:w="17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“Function”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Reference (for maths), can make footnotes probs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basal taxa, defined as species who have a vulnerability of zero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where</w:t>
                  </w:r>
                  <w:r>
                    <w:t xml:space="preserve"> </w:t>
                  </w:r>
                  <m:oMath>
                    <m:r>
                      <m:t>S</m:t>
                    </m:r>
                  </m:oMath>
                  <w:r>
                    <w:t xml:space="preserve"> </w:t>
                  </w:r>
                  <w:r>
                    <w:t xml:space="preserve">is the number of species and</w:t>
                  </w:r>
                  <w:r>
                    <w:t xml:space="preserve"> </w:t>
                  </w:r>
                  <m:oMath>
                    <m:r>
                      <m:t>L</m:t>
                    </m:r>
                  </m:oMath>
                  <w:r>
                    <w:t xml:space="preserve"> </w:t>
                  </w:r>
                  <w:r>
                    <w:t xml:space="preserve">the number of links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species that are cannibals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food chain length, averaged over all species (where a food chain is defined as a continuous path from a</w:t>
                  </w:r>
                  <w:r>
                    <w:t xml:space="preserve"> </w:t>
                  </w:r>
                  <w:r>
                    <w:t xml:space="preserve">‘basal’</w:t>
                  </w:r>
                  <w:r>
                    <w:t xml:space="preserve"> </w:t>
                  </w:r>
                  <w:r>
                    <w:t xml:space="preserve">to a</w:t>
                  </w:r>
                  <w:r>
                    <w:t xml:space="preserve"> </w:t>
                  </w:r>
                  <w:r>
                    <w:t xml:space="preserve">‘top’</w:t>
                  </w:r>
                  <w:r>
                    <w:t xml:space="preserve"> </w:t>
                  </w:r>
                  <w:r>
                    <w:t xml:space="preserve">species)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 deviation of ChLen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 number of food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clustering coefficient (probability that two taxa linked to the same taxon are also linked)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generality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Herbivore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herbivores plus detritivores (taxa that feed only on basal taxa)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intermediate taxa (with both consumers and resources)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links (number of consumers plus resources per taxon)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taxa in loops (food chains in which a taxon occurs twice)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L/S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 per species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MaxSim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of the maximum trophic similarity of each taxon to other taxa, the number of predators and prey shared by a pair of species divided by their total number of predators and prey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omnivores (taxa that feed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≥</m:t>
                    </m:r>
                  </m:oMath>
                  <w:r>
                    <w:t xml:space="preserve"> </w:t>
                  </w:r>
                  <w:r>
                    <w:t xml:space="preserve">2 taxa with different trophic levels)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path length, the mean shortest food chain length between species pairs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Prey-weighted trophic level averaged across taxa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top taxa (taxa without consumers)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vulnerability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number of links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 can also be measured as the average of the distances between each pair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ρ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Spectral radius is a a conceptual analog to nestedness (and more appropriate for unipartite networks). It is defined as the absolute value of the largest real part of the eigenvalues of the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undirected</w:t>
                  </w:r>
                  <w:r>
                    <w:t xml:space="preserve"> </w:t>
                  </w:r>
                  <w:r>
                    <w:t xml:space="preserve">adjacency matrix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SVD complexity of a network, defined as the Pielou entropy of its singular values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Something about structural v behavioural complexity being captured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is a measure of how</w:t>
                  </w:r>
                  <w:r>
                    <w:t xml:space="preserve"> </w:t>
                  </w:r>
                  <w:r>
                    <w:t xml:space="preserve">‘influential’</w:t>
                  </w:r>
                  <w:r>
                    <w:t xml:space="preserve"> </w:t>
                  </w:r>
                  <w:r>
                    <w:t xml:space="preserve">a species is, under various definitions of</w:t>
                  </w:r>
                  <w:r>
                    <w:t xml:space="preserve"> </w:t>
                  </w:r>
                  <w:r>
                    <w:t xml:space="preserve">‘influence’</w:t>
                  </w:r>
                  <w:r>
                    <w:t xml:space="preserve">…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can help in quantifying the importance of species in a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linear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omnivory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apparent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direct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Intervality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or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Here is a table showing the correlation of the different network properties with the first three dimensions of the PCA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Property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1 (27%)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2 (24%)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PCA 3 (11%)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herbivory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l_S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ρ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2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CaptionedFigure"/>
      </w:pPr>
      <w:r>
        <w:drawing>
          <wp:inline>
            <wp:extent cx="5334000" cy="4484708"/>
            <wp:effectExtent b="0" l="0" r="0" t="0"/>
            <wp:docPr descr="VERMAAT networks only" title="" id="24" name="Picture"/>
            <a:graphic>
              <a:graphicData uri="http://schemas.openxmlformats.org/drawingml/2006/picture">
                <pic:pic>
                  <pic:nvPicPr>
                    <pic:cNvPr descr="figures/pca_vermaa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4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VERMAAT networks only</w:t>
      </w:r>
    </w:p>
    <w:p>
      <w:pPr>
        <w:pStyle w:val="CaptionedFigure"/>
      </w:pPr>
      <w:r>
        <w:drawing>
          <wp:inline>
            <wp:extent cx="5334000" cy="8667750"/>
            <wp:effectExtent b="0" l="0" r="0" t="0"/>
            <wp:docPr descr="All networks. Vermaat subset = using only the structural measures from Vermaat" title="" id="27" name="Picture"/>
            <a:graphic>
              <a:graphicData uri="http://schemas.openxmlformats.org/drawingml/2006/picture">
                <pic:pic>
                  <pic:nvPicPr>
                    <pic:cNvPr descr="figures/pca_allNetwork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67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networks. Vermaat subset = using only the structural measures from Vermaat</w:t>
      </w:r>
    </w:p>
    <w:bookmarkStart w:id="50" w:name="references"/>
    <w:p>
      <w:pPr>
        <w:pStyle w:val="Heading1"/>
      </w:pPr>
      <w:r>
        <w:t xml:space="preserve">References</w:t>
      </w:r>
    </w:p>
    <w:bookmarkStart w:id="49" w:name="refs"/>
    <w:bookmarkStart w:id="30" w:name="ref-vermaatMajorDimensionsFoodweb2009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Vermaat, J.E.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(2009)</w:t>
      </w:r>
      <w:r>
        <w:t xml:space="preserve"> </w:t>
      </w:r>
      <w:hyperlink r:id="rId29">
        <w:r>
          <w:rPr>
            <w:rStyle w:val="Hyperlink"/>
          </w:rPr>
          <w:t xml:space="preserve">Major dimensions in food-web structure properties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90, 278–282</w:t>
      </w:r>
    </w:p>
    <w:bookmarkEnd w:id="30"/>
    <w:bookmarkStart w:id="32" w:name="ref-lauEcologicalNetworkMetrics2017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Lau, M.K.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</w:t>
      </w:r>
      <w:r>
        <w:t xml:space="preserve"> </w:t>
      </w:r>
      <w:hyperlink r:id="rId31">
        <w:r>
          <w:rPr>
            <w:rStyle w:val="Hyperlink"/>
          </w:rPr>
          <w:t xml:space="preserve">Ecological network metrics: Opportunities for synthesis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Ecosphere</w:t>
      </w:r>
      <w:r>
        <w:t xml:space="preserve"> </w:t>
      </w:r>
      <w:r>
        <w:t xml:space="preserve">8, e01900</w:t>
      </w:r>
    </w:p>
    <w:bookmarkEnd w:id="32"/>
    <w:bookmarkStart w:id="34" w:name="ref-williamsSuccessItsLimits2008a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Williams, R.J. and Martinez, N.D. (2008)</w:t>
      </w:r>
      <w:r>
        <w:t xml:space="preserve"> </w:t>
      </w:r>
      <w:hyperlink r:id="rId33">
        <w:r>
          <w:rPr>
            <w:rStyle w:val="Hyperlink"/>
          </w:rPr>
          <w:t xml:space="preserve">Success and its limits among structural models of complex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Animal Ecology</w:t>
      </w:r>
      <w:r>
        <w:t xml:space="preserve"> </w:t>
      </w:r>
      <w:r>
        <w:t xml:space="preserve">77, 512–519</w:t>
      </w:r>
    </w:p>
    <w:bookmarkEnd w:id="34"/>
    <w:bookmarkStart w:id="36" w:name="ref-williamsLimitsTrophicLevels2004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Williams, R.J. and Martinez, N.D. (2004)</w:t>
      </w:r>
      <w:r>
        <w:t xml:space="preserve"> </w:t>
      </w:r>
      <w:hyperlink r:id="rId35">
        <w:r>
          <w:rPr>
            <w:rStyle w:val="Hyperlink"/>
          </w:rPr>
          <w:t xml:space="preserve">Limits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Trophic Levels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Omnivory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Food Webs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163, 458–468</w:t>
      </w:r>
    </w:p>
    <w:bookmarkEnd w:id="36"/>
    <w:bookmarkStart w:id="38" w:name="X0cd8b1b2c315f3e3186e0dbbf2fc454fbc2ad9d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Delmas, 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(2019)</w:t>
      </w:r>
      <w:r>
        <w:t xml:space="preserve"> </w:t>
      </w:r>
      <w:hyperlink r:id="rId37">
        <w:r>
          <w:rPr>
            <w:rStyle w:val="Hyperlink"/>
          </w:rPr>
          <w:t xml:space="preserve">Analysing ecological networks of species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94, 16–36</w:t>
      </w:r>
    </w:p>
    <w:bookmarkEnd w:id="38"/>
    <w:bookmarkStart w:id="40" w:name="X3481a7b1378a8a1c27d457ba1288232f0ac90bb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Staniczenko, P.P.A.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</w:t>
      </w:r>
      <w:r>
        <w:t xml:space="preserve"> </w:t>
      </w:r>
      <w:hyperlink r:id="rId39">
        <w:r>
          <w:rPr>
            <w:rStyle w:val="Hyperlink"/>
          </w:rPr>
          <w:t xml:space="preserve">The ghost of nestedness in 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4, 1391</w:t>
      </w:r>
    </w:p>
    <w:bookmarkEnd w:id="40"/>
    <w:bookmarkStart w:id="42" w:name="ref-strydomSVDEntropyReveals2021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Strydom,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(2021)</w:t>
      </w:r>
      <w:r>
        <w:t xml:space="preserve"> </w:t>
      </w:r>
      <w:hyperlink r:id="rId41">
        <w:r>
          <w:rPr>
            <w:rStyle w:val="Hyperlink"/>
          </w:rPr>
          <w:t xml:space="preserve">SVD Entropy Reveals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 Complexity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 </w:t>
      </w:r>
      <w:r>
        <w:t xml:space="preserve">9</w:t>
      </w:r>
    </w:p>
    <w:bookmarkEnd w:id="42"/>
    <w:bookmarkStart w:id="44" w:name="ref-stoufferEvidenceExistenceRobust2007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(2007)</w:t>
      </w:r>
      <w:r>
        <w:t xml:space="preserve"> </w:t>
      </w:r>
      <w:hyperlink r:id="rId43">
        <w:r>
          <w:rPr>
            <w:rStyle w:val="Hyperlink"/>
          </w:rPr>
          <w:t xml:space="preserve">Evidence for the existence of a robust pattern of prey selection in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274, 1931–1940</w:t>
      </w:r>
    </w:p>
    <w:bookmarkEnd w:id="44"/>
    <w:bookmarkStart w:id="46" w:name="ref-miloNetworkMotifsSimple2002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Milo, 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(2002)</w:t>
      </w:r>
      <w:r>
        <w:t xml:space="preserve"> </w:t>
      </w:r>
      <w:hyperlink r:id="rId45">
        <w:r>
          <w:rPr>
            <w:rStyle w:val="Hyperlink"/>
          </w:rPr>
          <w:t xml:space="preserve">Network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Motifs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Simple Building Blocks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298, 824–827</w:t>
      </w:r>
    </w:p>
    <w:bookmarkEnd w:id="46"/>
    <w:bookmarkStart w:id="48" w:name="ref-stoufferRobustMeasureFood2006a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(2006)</w:t>
      </w:r>
      <w:r>
        <w:t xml:space="preserve"> </w:t>
      </w:r>
      <w:hyperlink r:id="rId47">
        <w:r>
          <w:rPr>
            <w:rStyle w:val="Hyperlink"/>
          </w:rPr>
          <w:t xml:space="preserve">A robust measure of food web intervality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103, 19015–19020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9" Target="https://doi.org/10.1038/ncomms2422" TargetMode="External" /><Relationship Type="http://schemas.openxmlformats.org/officeDocument/2006/relationships/hyperlink" Id="rId47" Target="https://doi.org/10.1073/pnas.0603844103" TargetMode="External" /><Relationship Type="http://schemas.openxmlformats.org/officeDocument/2006/relationships/hyperlink" Id="rId35" Target="https://doi.org/10.1086/381964" TargetMode="External" /><Relationship Type="http://schemas.openxmlformats.org/officeDocument/2006/relationships/hyperlink" Id="rId43" Target="https://doi.org/10.1098/rspb.2007.0571" TargetMode="External" /><Relationship Type="http://schemas.openxmlformats.org/officeDocument/2006/relationships/hyperlink" Id="rId37" Target="https://doi.org/10.1111/brv.12433" TargetMode="External" /><Relationship Type="http://schemas.openxmlformats.org/officeDocument/2006/relationships/hyperlink" Id="rId33" Target="https://doi.org/10.1111/j.1365-2656.2008.01362.x" TargetMode="External" /><Relationship Type="http://schemas.openxmlformats.org/officeDocument/2006/relationships/hyperlink" Id="rId45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1" Target="https://doi.org/10.3389/fevo.2021.62314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9" Target="https://doi.org/10.1038/ncomms2422" TargetMode="External" /><Relationship Type="http://schemas.openxmlformats.org/officeDocument/2006/relationships/hyperlink" Id="rId47" Target="https://doi.org/10.1073/pnas.0603844103" TargetMode="External" /><Relationship Type="http://schemas.openxmlformats.org/officeDocument/2006/relationships/hyperlink" Id="rId35" Target="https://doi.org/10.1086/381964" TargetMode="External" /><Relationship Type="http://schemas.openxmlformats.org/officeDocument/2006/relationships/hyperlink" Id="rId43" Target="https://doi.org/10.1098/rspb.2007.0571" TargetMode="External" /><Relationship Type="http://schemas.openxmlformats.org/officeDocument/2006/relationships/hyperlink" Id="rId37" Target="https://doi.org/10.1111/brv.12433" TargetMode="External" /><Relationship Type="http://schemas.openxmlformats.org/officeDocument/2006/relationships/hyperlink" Id="rId33" Target="https://doi.org/10.1111/j.1365-2656.2008.01362.x" TargetMode="External" /><Relationship Type="http://schemas.openxmlformats.org/officeDocument/2006/relationships/hyperlink" Id="rId45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1" Target="https://doi.org/10.3389/fevo.2021.62314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Finding the mjor descriptors of species networks</dc:title>
  <dc:creator>Tanya Strydom; Andrew P. Beckerman</dc:creator>
  <cp:keywords>food web, structure, dimensionality reduction</cp:keywords>
  <dcterms:created xsi:type="dcterms:W3CDTF">2025-06-30T09:17:32Z</dcterms:created>
  <dcterms:modified xsi:type="dcterms:W3CDTF">2025-06-30T09:17:32Z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https://www.zotero.org/styles/trends-in-ecology-and-evolution</vt:lpwstr>
  </property>
  <property fmtid="{D5CDD505-2E9C-101B-9397-08002B2CF9AE}" pid="11" name="date">
    <vt:lpwstr>2025-06-30</vt:lpwstr>
  </property>
  <property fmtid="{D5CDD505-2E9C-101B-9397-08002B2CF9AE}" pid="12" name="funding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