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2026-03-16</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Ecological theory has long sought general principles linking the architecture of interaction networks to ecosystem stability. Early theoretical work framed this relationship in terms of system complexity, most famously through the analysis of random community matrices by Robert May, who showed that increasing species richness, interaction density, and interaction strength variance should reduce local dynamical stability in large ecological systems</w:t>
      </w:r>
      <w:r>
        <w:t xml:space="preserve"> </w:t>
      </w:r>
      <w:r>
        <w:t xml:space="preserve">[3,4]</w:t>
      </w:r>
      <w:r>
        <w:t xml:space="preserve">. Subsequent work refined this prediction by demonstrating that specific forms of network organisation such as interaction structure, trophic hierarchy, and compartmentalisation can substantially alter stability outcomes</w:t>
      </w:r>
      <w:r>
        <w:t xml:space="preserve"> </w:t>
      </w:r>
      <w:r>
        <w:t xml:space="preserve">[5–7]</w:t>
      </w:r>
      <w:r>
        <w:t xml:space="preserve">. More recently, structural theories such as trophic coherence have proposed that food webs occupy constrained regions of structural space in which particular architectural features strongly influence system stability</w:t>
      </w:r>
      <w:r>
        <w:t xml:space="preserve"> </w:t>
      </w:r>
      <w:r>
        <w:t xml:space="preserve">[8]</w:t>
      </w:r>
      <w:r>
        <w:t xml:space="preserve">. At the same time, ecological stability itself is now widely recognised as a multidimensional concept encompassing distinct dynamical properties such as persistence, resistance to disturbance, and recovery dynamics</w:t>
      </w:r>
      <w:r>
        <w:t xml:space="preserve"> </w:t>
      </w:r>
      <w:r>
        <w:t xml:space="preserve">[9–11]</w:t>
      </w:r>
      <w:r>
        <w:t xml:space="preserve">. Together these developments suggest that the relationship between network structure and ecological stability may be more complex than originally assumed, specifically that both structure and stability are multidimensional properties of ecological systems. If so, apparent inconsistencies in the structure–stability literature may arise not because theoretical predictions are incorrect, but because different studies measure different aspects of network architecture and different components of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w:t>
      </w:r>
      <w:r>
        <w:t xml:space="preserve"> </w:t>
      </w:r>
      <w:r>
        <w:t xml:space="preserve">[10,12]</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[13]</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[6]</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characterised using a suite of XX structural metrics (see</w:t>
      </w:r>
      <w:r>
        <w:t xml:space="preserve"> </w:t>
      </w:r>
      <w:hyperlink w:anchor="tbl-properties">
        <w:r>
          <w:rPr>
            <w:rStyle w:val="Hyperlink"/>
          </w:rPr>
          <w:t xml:space="preserve">Table 1</w:t>
        </w:r>
      </w:hyperlink>
      <w:r>
        <w:t xml:space="preserve">).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[13]</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[14]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[15]</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[16]</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[5]</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[17]</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[14]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[14]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w:t>
                  </w:r>
                  <w:r>
                    <w:rPr>
                      <w:b/>
                      <w:bCs/>
                    </w:rPr>
                    <w:t xml:space="preserve">stoufferRobustMeasureFood2006a?</w:t>
                  </w:r>
                  <w:r>
                    <w:t xml:space="preserve">]</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[18]</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[19]</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[20]</w:t>
                  </w:r>
                  <w:r>
                    <w:t xml:space="preserve"> </w:t>
                  </w:r>
                  <w:r>
                    <w:t xml:space="preserve">[21]</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[20]</w:t>
                  </w:r>
                  <w:r>
                    <w:t xml:space="preserve"> </w:t>
                  </w:r>
                  <w:r>
                    <w:t xml:space="preserve">[21]</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[20]</w:t>
                  </w:r>
                  <w:r>
                    <w:t xml:space="preserve"> </w:t>
                  </w:r>
                  <w:r>
                    <w:t xml:space="preserve">[21]</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[20]</w:t>
                  </w:r>
                  <w:r>
                    <w:t xml:space="preserve"> </w:t>
                  </w:r>
                  <w:r>
                    <w:t xml:space="preserve">[21]</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prioritises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regularised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(10 folds x 10 repeats). Within each training partition, models were fit across a grid of α values (0–1 in increments of 0.25), and the optimal penalty strength (λ) was selected via internal cross-validation. Performance was quantified as cross-validated</w:t>
      </w:r>
      <w:r>
        <w:t xml:space="preserve"> </w:t>
      </w:r>
      <m:oMath>
        <m:sSup>
          <m:e>
            <m:r>
              <m:t>R</m:t>
            </m:r>
          </m:e>
          <m:sup>
            <m:r>
              <m:t>2</m:t>
            </m:r>
          </m:sup>
        </m:sSup>
      </m:oMath>
      <w:r>
        <w:t xml:space="preserve"> </w:t>
      </w:r>
      <w:r>
        <w:t xml:space="preserve">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0955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095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222999"/>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22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1"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[REF], omnivory has been argued to stabilise or destabilise communities [REF], and measures of modularity, trophic organisation, or motif structure have each been proposed as key determinants of ecosystem dynamics [REF].</w:t>
      </w:r>
    </w:p>
    <w:p>
      <w:pPr>
        <w:pStyle w:val="BodyText"/>
      </w:pPr>
      <w:r>
        <w:t xml:space="preserve">Our results suggest that much of this inconsistency may arise from a conceptual simplification - network structure is rarely a single property. We demonstrate that food web structure exhibits strong modular organisation among commonly used network metrics</w:t>
      </w:r>
      <w:r>
        <w:t xml:space="preserve"> </w:t>
      </w:r>
      <w:hyperlink w:anchor="fig-cluster">
        <w:r>
          <w:rPr>
            <w:rStyle w:val="Hyperlink"/>
          </w:rPr>
          <w:t xml:space="preserve">Figure 1</w:t>
        </w:r>
      </w:hyperlink>
      <w:r>
        <w:t xml:space="preserve">, with structural descriptors grouped into seven statistically supported modules spanning macro-architectural complexity, trophic integration, routing geometry, and trophic imbalance. Instead, food-web architecture appears to be organised along several coherent dimensions of variation, with principal component analysis revealing that this high-dimensional set of metrics collapses onto a small number of dominant structural gradients</w:t>
      </w:r>
      <w:r>
        <w:t xml:space="preserve"> </w:t>
      </w:r>
      <w:hyperlink w:anchor="fig-pca">
        <w:r>
          <w:rPr>
            <w:rStyle w:val="Hyperlink"/>
          </w:rPr>
          <w:t xml:space="preserve">Figure 2</w:t>
        </w:r>
      </w:hyperlink>
      <w:r>
        <w:t xml:space="preserve">, </w:t>
      </w:r>
      <w:hyperlink w:anchor="fig-variance">
        <w:r>
          <w:rPr>
            <w:rStyle w:val="Hyperlink"/>
          </w:rPr>
          <w:t xml:space="preserve">Figure 3</w:t>
        </w:r>
      </w:hyperlink>
      <w:r>
        <w:t xml:space="preserve">, </w:t>
      </w:r>
      <w:hyperlink w:anchor="fig-alignment_heatmap">
        <w:r>
          <w:rPr>
            <w:rStyle w:val="Hyperlink"/>
          </w:rPr>
          <w:t xml:space="preserve">Figure 4</w:t>
        </w:r>
      </w:hyperlink>
      <w:r>
        <w:t xml:space="preserve">. Importantly, the independently identified structural modules align non-randomly with these principal gradients, indicating that the modular decomposition captures real axes of ecological variation rather than statistical artifacts. This suggests that the structural metrics commonly used in ecological studies do not behave as independent descriptors, nor do they represent interchangeable proxies for a single structural attribute, but rather that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several consistent structural domains within food-web architecture</w:t>
      </w:r>
      <w:r>
        <w:t xml:space="preserve"> </w:t>
      </w:r>
      <w:hyperlink w:anchor="tbl-modules">
        <w:r>
          <w:rPr>
            <w:rStyle w:val="Hyperlink"/>
          </w:rPr>
          <w:t xml:space="preserve">Table 2</w:t>
        </w:r>
      </w:hyperlink>
      <w:r>
        <w:t xml:space="preserve">. The largest module captured macro-architectural expansion, combining species richness, interaction density, motif frequencies, and intervality. Because these metrics scale together as networks grow, this module reflects the combinatorial growth of interaction space with increasing species richness. In contrast, trophic integration metrics—including connectance, omnivory, trophic level, and clustering—formed a distinct module capturing how tightly energy pathways are embedded across trophic levels.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fd2dce720bd965429cda5bca869101a9a40bbce"/>
    <w:p>
      <w:pPr>
        <w:pStyle w:val="Heading2"/>
      </w:pPr>
      <w:r>
        <w:t xml:space="preserve">4.2 Structural domains and the mechanisms of stability</w:t>
      </w:r>
    </w:p>
    <w:p>
      <w:pPr>
        <w:pStyle w:val="FirstParagraph"/>
      </w:pPr>
      <w:r>
        <w:t xml:space="preserve">The modular organisation of structural metrics identified in our analysis provides a framework for linking distinct ecological processes to different components of ecosystem stability. Because each module captures a different aspect of network architecture, they likely influence stability through different mechanistic pathways. Interpreting the modules in light of existing food web theory suggests that multiple ecological processes such as community assembly, trophic integration, energetic constraints, and niche overlap jointly shape how perturbations propagate through ecological networks.</w:t>
      </w:r>
    </w:p>
    <w:p>
      <w:pPr>
        <w:pStyle w:val="BodyText"/>
      </w:pPr>
      <w:r>
        <w:t xml:space="preserve">The module associated with macro-architectural complexity reflects the structural consequences of increasing community size and interaction opportunities. Metrics describing species richness, interaction density, motif diversity, and large-scale path structure covary strongly, indicating that these properties scale together as food webs accumulate species. Classic theoretical work predicted that increasing complexity should destabilize ecological systems by increasing the density of interactions within the community matrix</w:t>
      </w:r>
      <w:r>
        <w:t xml:space="preserve"> </w:t>
      </w:r>
      <w:r>
        <w:t xml:space="preserve">[3]</w:t>
      </w:r>
      <w:r>
        <w:t xml:space="preserve">. However, subsequent studies demonstrated that the stability consequences of complexity depend strongly on how interactions are distributed across the network</w:t>
      </w:r>
      <w:r>
        <w:t xml:space="preserve"> </w:t>
      </w:r>
      <w:r>
        <w:t xml:space="preserve">[22,23]</w:t>
      </w:r>
      <w:r>
        <w:t xml:space="preserve">. In this context, the macro-architectural module may primarily influence stability through its effects on the overall dimensionality of species interactions and the number of pathways through which perturbations can spread.</w:t>
      </w:r>
    </w:p>
    <w:p>
      <w:pPr>
        <w:pStyle w:val="BodyText"/>
      </w:pPr>
      <w:r>
        <w:t xml:space="preserve">A second structural domain describing trophic integration includes connectance, omnivory, trophic level, and clustering. These metrics capture how densely interactions couple trophic levels and the extent to which energy channels are interconnected across the food web. Theoretical work has long suggested that omnivory and cross-level feeding interactions can alter system stability by redistributing interaction strengths and dampening oscillatory dynamics</w:t>
      </w:r>
      <w:r>
        <w:t xml:space="preserve"> </w:t>
      </w:r>
      <w:r>
        <w:t xml:space="preserve">[24,25]</w:t>
      </w:r>
      <w:r>
        <w:t xml:space="preserve">. Empirical analyses of interaction strengths similarly show that food webs often contain many weak links embedded within more complex interaction structures, a pattern that can stabilize population dynamics despite high connectance</w:t>
      </w:r>
      <w:r>
        <w:t xml:space="preserve"> </w:t>
      </w:r>
      <w:r>
        <w:t xml:space="preserve">[22,26]</w:t>
      </w:r>
      <w:r>
        <w:t xml:space="preserve">. Variation in this structural domain therefore likely influences stability through the degree of coupling among trophic pathways and the distribution of interaction strengths across the network.</w:t>
      </w:r>
    </w:p>
    <w:p>
      <w:pPr>
        <w:pStyle w:val="BodyText"/>
      </w:pPr>
      <w:r>
        <w:t xml:space="preserve">A third module describes the geometry of energy transport through the network, capturing variation in path length distributions and food-chain structure. The independence of these metrics from those describing network size suggests that the organization of trophic pathways represents a distinct structural dimension. Recent work has emphasised the importance of trophic pathway organisation in determining the stability of ecological networks. In particular, measures of trophic coherence and pathway structure have been shown to strongly influence the propagation of perturbations and the stability of dynamical equilibria</w:t>
      </w:r>
      <w:r>
        <w:t xml:space="preserve"> </w:t>
      </w:r>
      <w:r>
        <w:t xml:space="preserve">[8]</w:t>
      </w:r>
      <w:r>
        <w:t xml:space="preserve">. Differences in pathway geometry may therefore affect how disturbances move through the network, influencing the amplification or attenuation of population fluctuations along trophic chains.</w:t>
      </w:r>
    </w:p>
    <w:p>
      <w:pPr>
        <w:pStyle w:val="BodyText"/>
      </w:pPr>
      <w:r>
        <w:t xml:space="preserve">Other structural modules reflect variation in trophic role distributions and interaction heterogeneity across species. Metrics describing basal species prevalence and predator–prey ratios capture trophic asymmetry within the network, reflecting the energetic pyramid structure that arises from constraints on energy transfer across trophic levels. Such asymmetries influence both the distribution of interaction strengths and the sensitivity of higher trophic levels to perturbations originating at lower levels of the food web</w:t>
      </w:r>
      <w:r>
        <w:t xml:space="preserve"> </w:t>
      </w:r>
      <w:r>
        <w:t xml:space="preserve">[25]</w:t>
      </w:r>
      <w:r>
        <w:t xml:space="preserve">. In contrast, modules describing heterogeneity in predation pressure capture how evenly consumer impacts are distributed among species, which may influence the likelihood of cascading effects following perturbations.</w:t>
      </w:r>
    </w:p>
    <w:p>
      <w:pPr>
        <w:pStyle w:val="BodyText"/>
      </w:pPr>
      <w:r>
        <w:t xml:space="preserve">Finally, descriptors of trophic similarity form an independent structural dimension associated with functional redundancy among species. Ecological theory predicts that redundancy in species roles can enhance robustness to species loss because remaining species may partially compensate for lost interactions</w:t>
      </w:r>
      <w:r>
        <w:t xml:space="preserve"> </w:t>
      </w:r>
      <w:r>
        <w:t xml:space="preserve">[27]</w:t>
      </w:r>
      <w:r>
        <w:t xml:space="preserve">. Variation in trophic similarity and shared resource use may therefore play a particularly important role in determining robustness to species removal and the potential for extinction cascades</w:t>
      </w:r>
      <w:r>
        <w:t xml:space="preserve"> </w:t>
      </w:r>
      <w:r>
        <w:t xml:space="preserve">[23]</w:t>
      </w:r>
      <w:r>
        <w:t xml:space="preserve">.</w:t>
      </w:r>
    </w:p>
    <w:p>
      <w:pPr>
        <w:pStyle w:val="BodyText"/>
      </w:pPr>
      <w:r>
        <w:t xml:space="preserve">Taken together, these relationships suggest that different components of ecological stability may be governed by distinct domains of network architecture. Structural properties associated with community size and trophic integration may primarily influence equilibrium stability, whereas pathway geometry may shape dynamical variability by determining how perturbations propagate through trophic interactions. At the same time, heterogeneity in species roles and trophic similarity may influence robustness to species loss by determining the degree of functional redundancy within the network. Recognizing these distinct structural domains helps clarify why previous studies have reported contrasting relationships between network structure and stability: different analyses may emphasize different aspects of network architecture, each linked to separate ecological mechanisms.</w:t>
      </w:r>
    </w:p>
    <w:bookmarkEnd w:id="77"/>
    <w:bookmarkStart w:id="78" w:name="Xad7d45b1333a2fd236e1c6c9a9acd7bd855f2b7"/>
    <w:p>
      <w:pPr>
        <w:pStyle w:val="Heading2"/>
      </w:pPr>
      <w:r>
        <w:t xml:space="preserve">4.3 Reinterpreting the structure–stability debate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Our stability analyses support this multidimensional interpretation. Different stability components responded to different structural representations and levels of abstraction. Spectral radius (</w:t>
      </w:r>
      <m:oMath>
        <m:r>
          <m:t>ρ</m:t>
        </m:r>
      </m:oMath>
      <w:r>
        <w:t xml:space="preserve">) exhibited the strongest structural determination and was best predicted when network structure was expressed as multivariate principal component axes. In contrast, complexity was most predictable from fine-scale structural descriptors, indicating distributed influence across multiple topological features. Robustness to species loss showed comparatively weak structural determination across representations.</w:t>
      </w:r>
    </w:p>
    <w:p>
      <w:pPr>
        <w:pStyle w:val="BodyText"/>
      </w:pPr>
      <w:r>
        <w:t xml:space="preserve">These results help reconcile apparently conflicting conclusions in the historical structure–stability literature. Theoretical work emphasizing stability, such as that of May [REF], effectively captures structural variation along global connectivity gradients. In contrast, studies emphasising trophic pathways and energy dampening—such as those following McCann [REF] may instead capture variation in routing geometry or trophic integration. Because these architectural domains vary independently in empirical networks, different studies may observe contrasting stability relationships even when examining the same ecosystems.</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8"/>
    <w:bookmarkStart w:id="79" w:name="X815e10819c719fd889b2df0b0165ed3bc35efe2"/>
    <w:p>
      <w:pPr>
        <w:pStyle w:val="Heading2"/>
      </w:pPr>
      <w:r>
        <w:t xml:space="preserve">4.4 Implications for the design of network analyses</w:t>
      </w:r>
    </w:p>
    <w:p>
      <w:pPr>
        <w:pStyle w:val="FirstParagraph"/>
      </w:pPr>
      <w:r>
        <w:t xml:space="preserve">Our comparison of alternative structural representations highlights the consequences of dimensional reduction choices. Domain-based medoid representations preserved moderate structural variance while maintaining ecological interpretability, whereas selecting a single metric per principal component retained only a small fraction of total structural information. By contrast, multivariate PC scores preserved most structural variance but abstracted away from direct ecological interpretation. These results indicate that methodological choices about how network structure is summarised can substantially alter inference about stability drivers.</w:t>
      </w:r>
    </w:p>
    <w:p>
      <w:pPr>
        <w:pStyle w:val="BodyText"/>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9"/>
    <w:bookmarkStart w:id="80" w:name="X52687e34ca02f886d47f2b738d6800472257c16"/>
    <w:p>
      <w:pPr>
        <w:pStyle w:val="Heading2"/>
      </w:pPr>
      <w:r>
        <w:t xml:space="preserve">4.5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80"/>
    <w:bookmarkEnd w:id="81"/>
    <w:bookmarkStart w:id="82"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2"/>
    <w:bookmarkStart w:id="138" w:name="references"/>
    <w:p>
      <w:pPr>
        <w:pStyle w:val="Heading1"/>
      </w:pPr>
      <w:r>
        <w:t xml:space="preserve">References</w:t>
      </w:r>
    </w:p>
    <w:bookmarkStart w:id="137" w:name="refs"/>
    <w:bookmarkStart w:id="84"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3">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4"/>
    <w:bookmarkStart w:id="86"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5">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6"/>
    <w:bookmarkStart w:id="88" w:name="ref-mayWillLargeComplex1972"/>
    <w:p>
      <w:pPr>
        <w:pStyle w:val="Bibliography"/>
      </w:pPr>
      <w:r>
        <w:t xml:space="preserve">3.</w:t>
      </w:r>
      <w:r>
        <w:t xml:space="preserve"> </w:t>
      </w:r>
      <w:r>
        <w:t xml:space="preserve">	</w:t>
      </w:r>
      <w:r>
        <w:t xml:space="preserve">May, R.M. (1972)</w:t>
      </w:r>
      <w:r>
        <w:t xml:space="preserve"> </w:t>
      </w:r>
      <w:hyperlink r:id="rId87">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w:t>
      </w:r>
      <w:r>
        <w:rPr>
          <w:i/>
          <w:iCs/>
        </w:rPr>
        <w:t xml:space="preserve">Nature</w:t>
      </w:r>
      <w:r>
        <w:t xml:space="preserve"> </w:t>
      </w:r>
      <w:r>
        <w:t xml:space="preserve">238, 413–414</w:t>
      </w:r>
    </w:p>
    <w:bookmarkEnd w:id="88"/>
    <w:bookmarkStart w:id="90" w:name="ref-mayStabilityComplexityModel1974"/>
    <w:p>
      <w:pPr>
        <w:pStyle w:val="Bibliography"/>
      </w:pPr>
      <w:r>
        <w:t xml:space="preserve">4.</w:t>
      </w:r>
      <w:r>
        <w:t xml:space="preserve"> </w:t>
      </w:r>
      <w:r>
        <w:t xml:space="preserve">	</w:t>
      </w:r>
      <w:r>
        <w:t xml:space="preserve">May, R.M. (1974)</w:t>
      </w:r>
      <w:r>
        <w:t xml:space="preserve"> </w:t>
      </w:r>
      <w:hyperlink r:id="rId89">
        <w:r>
          <w:rPr>
            <w:rStyle w:val="Hyperlink"/>
            <w:i/>
            <w:iCs/>
          </w:rPr>
          <w:t xml:space="preserve">Stability and</w:t>
        </w:r>
        <w:r>
          <w:rPr>
            <w:rStyle w:val="Hyperlink"/>
            <w:i/>
            <w:iCs/>
          </w:rPr>
          <w:t xml:space="preserve"> </w:t>
        </w:r>
        <w:r>
          <w:rPr>
            <w:rStyle w:val="Hyperlink"/>
            <w:i/>
            <w:iCs/>
          </w:rPr>
          <w:t xml:space="preserve">Complexity</w:t>
        </w:r>
        <w:r>
          <w:rPr>
            <w:rStyle w:val="Hyperlink"/>
            <w:i/>
            <w:iCs/>
          </w:rPr>
          <w:t xml:space="preserve"> </w:t>
        </w:r>
        <w:r>
          <w:rPr>
            <w:rStyle w:val="Hyperlink"/>
            <w:i/>
            <w:iCs/>
          </w:rPr>
          <w:t xml:space="preserve">in</w:t>
        </w:r>
        <w:r>
          <w:rPr>
            <w:rStyle w:val="Hyperlink"/>
            <w:i/>
            <w:iCs/>
          </w:rPr>
          <w:t xml:space="preserve"> </w:t>
        </w:r>
        <w:r>
          <w:rPr>
            <w:rStyle w:val="Hyperlink"/>
            <w:i/>
            <w:iCs/>
          </w:rPr>
          <w:t xml:space="preserve">Model Ecosystems</w:t>
        </w:r>
      </w:hyperlink>
      <w:r>
        <w:t xml:space="preserve">, 1, Princeton University Press</w:t>
      </w:r>
    </w:p>
    <w:bookmarkEnd w:id="90"/>
    <w:bookmarkStart w:id="92" w:name="ref-mccannDiversityStabilityDebate2000"/>
    <w:p>
      <w:pPr>
        <w:pStyle w:val="Bibliography"/>
      </w:pPr>
      <w:r>
        <w:t xml:space="preserve">5.</w:t>
      </w:r>
      <w:r>
        <w:t xml:space="preserve"> </w:t>
      </w:r>
      <w:r>
        <w:t xml:space="preserve">	</w:t>
      </w:r>
      <w:r>
        <w:t xml:space="preserve">McCann, K.S. (2000)</w:t>
      </w:r>
      <w:r>
        <w:t xml:space="preserve"> </w:t>
      </w:r>
      <w:hyperlink r:id="rId91">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2"/>
    <w:bookmarkStart w:id="94" w:name="ref-allesinaStabilityCriteriaComplex2012"/>
    <w:p>
      <w:pPr>
        <w:pStyle w:val="Bibliography"/>
      </w:pPr>
      <w:r>
        <w:t xml:space="preserve">6.</w:t>
      </w:r>
      <w:r>
        <w:t xml:space="preserve"> </w:t>
      </w:r>
      <w:r>
        <w:t xml:space="preserve">	</w:t>
      </w:r>
      <w:r>
        <w:t xml:space="preserve">Allesina, S. and Tang, S. (2012)</w:t>
      </w:r>
      <w:r>
        <w:t xml:space="preserve"> </w:t>
      </w:r>
      <w:hyperlink r:id="rId93">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4"/>
    <w:bookmarkStart w:id="96" w:name="X68c2569f5b2fe4541ba4943c3bf915f8f3f59a5"/>
    <w:p>
      <w:pPr>
        <w:pStyle w:val="Bibliography"/>
      </w:pPr>
      <w:r>
        <w:t xml:space="preserve">7.</w:t>
      </w:r>
      <w:r>
        <w:t xml:space="preserve"> </w:t>
      </w:r>
      <w:r>
        <w:t xml:space="preserve">	</w:t>
      </w:r>
      <w:r>
        <w:t xml:space="preserve">Stouffer, D.B. and Bascompte, J. (2010)</w:t>
      </w:r>
      <w:r>
        <w:t xml:space="preserve"> </w:t>
      </w:r>
      <w:hyperlink r:id="rId95">
        <w:r>
          <w:rPr>
            <w:rStyle w:val="Hyperlink"/>
          </w:rPr>
          <w:t xml:space="preserve">Understanding food-web persistence from local to global scales</w:t>
        </w:r>
      </w:hyperlink>
      <w:r>
        <w:t xml:space="preserve">.</w:t>
      </w:r>
      <w:r>
        <w:t xml:space="preserve"> </w:t>
      </w:r>
      <w:r>
        <w:rPr>
          <w:i/>
          <w:iCs/>
        </w:rPr>
        <w:t xml:space="preserve">Ecology Letters</w:t>
      </w:r>
      <w:r>
        <w:t xml:space="preserve"> </w:t>
      </w:r>
      <w:r>
        <w:t xml:space="preserve">13, 154–161</w:t>
      </w:r>
    </w:p>
    <w:bookmarkEnd w:id="96"/>
    <w:bookmarkStart w:id="98" w:name="X9080a016089356b1a0b4c4dffa0eb84c7c7baaa"/>
    <w:p>
      <w:pPr>
        <w:pStyle w:val="Bibliography"/>
      </w:pPr>
      <w:r>
        <w:t xml:space="preserve">8.</w:t>
      </w:r>
      <w:r>
        <w:t xml:space="preserve"> </w:t>
      </w:r>
      <w:r>
        <w:t xml:space="preserve">	</w:t>
      </w:r>
      <w:r>
        <w:t xml:space="preserve">Johnson, S.</w:t>
      </w:r>
      <w:r>
        <w:t xml:space="preserve"> </w:t>
      </w:r>
      <w:r>
        <w:rPr>
          <w:i/>
          <w:iCs/>
        </w:rPr>
        <w:t xml:space="preserve">et al.</w:t>
      </w:r>
      <w:r>
        <w:t xml:space="preserve"> </w:t>
      </w:r>
      <w:r>
        <w:t xml:space="preserve">(2014)</w:t>
      </w:r>
      <w:r>
        <w:t xml:space="preserve"> </w:t>
      </w:r>
      <w:hyperlink r:id="rId97">
        <w:r>
          <w:rPr>
            <w:rStyle w:val="Hyperlink"/>
          </w:rPr>
          <w:t xml:space="preserve">Trophic coherence determines food-web stability</w:t>
        </w:r>
      </w:hyperlink>
      <w:r>
        <w:t xml:space="preserve">.</w:t>
      </w:r>
      <w:r>
        <w:t xml:space="preserve"> </w:t>
      </w:r>
      <w:r>
        <w:rPr>
          <w:i/>
          <w:iCs/>
        </w:rPr>
        <w:t xml:space="preserve">Proceedings of the National Academy of Sciences</w:t>
      </w:r>
      <w:r>
        <w:t xml:space="preserve"> </w:t>
      </w:r>
      <w:r>
        <w:t xml:space="preserve">111, 17923–17928</w:t>
      </w:r>
    </w:p>
    <w:bookmarkEnd w:id="98"/>
    <w:bookmarkStart w:id="100" w:name="X36aef5157aa3ddd99c1977c5616cca2243282d0"/>
    <w:p>
      <w:pPr>
        <w:pStyle w:val="Bibliography"/>
      </w:pPr>
      <w:r>
        <w:t xml:space="preserve">9.</w:t>
      </w:r>
      <w:r>
        <w:t xml:space="preserve"> </w:t>
      </w:r>
      <w:r>
        <w:t xml:space="preserve">	</w:t>
      </w:r>
      <w:r>
        <w:t xml:space="preserve">Tilman, D. (1996)</w:t>
      </w:r>
      <w:r>
        <w:t xml:space="preserve"> </w:t>
      </w:r>
      <w:hyperlink r:id="rId99">
        <w:r>
          <w:rPr>
            <w:rStyle w:val="Hyperlink"/>
          </w:rPr>
          <w:t xml:space="preserve">Biodiversity:</w:t>
        </w:r>
        <w:r>
          <w:rPr>
            <w:rStyle w:val="Hyperlink"/>
          </w:rPr>
          <w:t xml:space="preserve"> </w:t>
        </w:r>
        <w:r>
          <w:rPr>
            <w:rStyle w:val="Hyperlink"/>
          </w:rPr>
          <w:t xml:space="preserve">Population Versus Ecosystem Stability</w:t>
        </w:r>
      </w:hyperlink>
      <w:r>
        <w:t xml:space="preserve">.</w:t>
      </w:r>
      <w:r>
        <w:t xml:space="preserve"> </w:t>
      </w:r>
      <w:r>
        <w:rPr>
          <w:i/>
          <w:iCs/>
        </w:rPr>
        <w:t xml:space="preserve">Ecology</w:t>
      </w:r>
      <w:r>
        <w:t xml:space="preserve"> </w:t>
      </w:r>
      <w:r>
        <w:t xml:space="preserve">77, 350–363</w:t>
      </w:r>
    </w:p>
    <w:bookmarkEnd w:id="100"/>
    <w:bookmarkStart w:id="102" w:name="ref-ivesStabilityDiversityEcosystems2007"/>
    <w:p>
      <w:pPr>
        <w:pStyle w:val="Bibliography"/>
      </w:pPr>
      <w:r>
        <w:t xml:space="preserve">10.</w:t>
      </w:r>
      <w:r>
        <w:t xml:space="preserve"> </w:t>
      </w:r>
      <w:r>
        <w:t xml:space="preserve">	</w:t>
      </w:r>
      <w:r>
        <w:t xml:space="preserve">Ives, A.R. and Carpenter, S.R. (2007)</w:t>
      </w:r>
      <w:r>
        <w:t xml:space="preserve"> </w:t>
      </w:r>
      <w:hyperlink r:id="rId101">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102"/>
    <w:bookmarkStart w:id="104" w:name="Xd3bc60a647f9ff13377c15a84381aefaf14c1db"/>
    <w:p>
      <w:pPr>
        <w:pStyle w:val="Bibliography"/>
      </w:pPr>
      <w:r>
        <w:t xml:space="preserve">11.</w:t>
      </w:r>
      <w:r>
        <w:t xml:space="preserve"> </w:t>
      </w:r>
      <w:r>
        <w:t xml:space="preserve">	</w:t>
      </w:r>
      <w:r>
        <w:t xml:space="preserve">Loreau, M. and de Mazancourt, C. (2013)</w:t>
      </w:r>
      <w:r>
        <w:t xml:space="preserve"> </w:t>
      </w:r>
      <w:hyperlink r:id="rId103">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104"/>
    <w:bookmarkStart w:id="106" w:name="Xaecfe1d4a33bf02078e0db488e6aa2f6950ed89"/>
    <w:p>
      <w:pPr>
        <w:pStyle w:val="Bibliography"/>
      </w:pPr>
      <w:r>
        <w:t xml:space="preserve">12.</w:t>
      </w:r>
      <w:r>
        <w:t xml:space="preserve"> </w:t>
      </w:r>
      <w:r>
        <w:t xml:space="preserve">	</w:t>
      </w:r>
      <w:r>
        <w:t xml:space="preserve">Pimm, S.L. (1984)</w:t>
      </w:r>
      <w:r>
        <w:t xml:space="preserve"> </w:t>
      </w:r>
      <w:hyperlink r:id="rId105">
        <w:r>
          <w:rPr>
            <w:rStyle w:val="Hyperlink"/>
          </w:rPr>
          <w:t xml:space="preserve">The complexity and stability of ecosystems</w:t>
        </w:r>
      </w:hyperlink>
      <w:r>
        <w:t xml:space="preserve">.</w:t>
      </w:r>
      <w:r>
        <w:t xml:space="preserve"> </w:t>
      </w:r>
      <w:r>
        <w:rPr>
          <w:i/>
          <w:iCs/>
        </w:rPr>
        <w:t xml:space="preserve">Nature</w:t>
      </w:r>
      <w:r>
        <w:t xml:space="preserve"> </w:t>
      </w:r>
      <w:r>
        <w:t xml:space="preserve">307, 321–326</w:t>
      </w:r>
    </w:p>
    <w:bookmarkEnd w:id="106"/>
    <w:bookmarkStart w:id="108" w:name="ref-thompsonFoodWebsReconciling2012"/>
    <w:p>
      <w:pPr>
        <w:pStyle w:val="Bibliography"/>
      </w:pPr>
      <w:r>
        <w:t xml:space="preserve">13.</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107">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108"/>
    <w:bookmarkStart w:id="110" w:name="ref-williamsLimitsTrophicLevels2004"/>
    <w:p>
      <w:pPr>
        <w:pStyle w:val="Bibliography"/>
      </w:pPr>
      <w:r>
        <w:t xml:space="preserve">14.</w:t>
      </w:r>
      <w:r>
        <w:t xml:space="preserve"> </w:t>
      </w:r>
      <w:r>
        <w:t xml:space="preserve">	</w:t>
      </w:r>
      <w:r>
        <w:t xml:space="preserve">Williams, R.J. and Martinez, N.D. (2004)</w:t>
      </w:r>
      <w:r>
        <w:t xml:space="preserve"> </w:t>
      </w:r>
      <w:hyperlink r:id="rId109">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110"/>
    <w:bookmarkStart w:id="112" w:name="X781f7e482417d8f33d808967da8cf24a047c245"/>
    <w:p>
      <w:pPr>
        <w:pStyle w:val="Bibliography"/>
      </w:pPr>
      <w:r>
        <w:t xml:space="preserve">15.</w:t>
      </w:r>
      <w:r>
        <w:t xml:space="preserve"> </w:t>
      </w:r>
      <w:r>
        <w:t xml:space="preserve">	</w:t>
      </w:r>
      <w:r>
        <w:t xml:space="preserve">Yodzis, P. and Winemiller, K.O. (1999)</w:t>
      </w:r>
      <w:r>
        <w:t xml:space="preserve"> </w:t>
      </w:r>
      <w:hyperlink r:id="rId111">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112"/>
    <w:bookmarkStart w:id="114" w:name="ref-estradaUsingNetworkCentrality2008"/>
    <w:p>
      <w:pPr>
        <w:pStyle w:val="Bibliography"/>
      </w:pPr>
      <w:r>
        <w:t xml:space="preserve">16.</w:t>
      </w:r>
      <w:r>
        <w:t xml:space="preserve"> </w:t>
      </w:r>
      <w:r>
        <w:t xml:space="preserve">	</w:t>
      </w:r>
      <w:r>
        <w:t xml:space="preserve">Estrada, E. and Bodin, Ö. (2008)</w:t>
      </w:r>
      <w:r>
        <w:t xml:space="preserve"> </w:t>
      </w:r>
      <w:hyperlink r:id="rId113">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114"/>
    <w:bookmarkStart w:id="116" w:name="X5f45a7a099d08070703fc184810d23dd2e88abd"/>
    <w:p>
      <w:pPr>
        <w:pStyle w:val="Bibliography"/>
      </w:pPr>
      <w:r>
        <w:t xml:space="preserve">17.</w:t>
      </w:r>
      <w:r>
        <w:t xml:space="preserve"> </w:t>
      </w:r>
      <w:r>
        <w:t xml:space="preserve">	</w:t>
      </w:r>
      <w:r>
        <w:t xml:space="preserve">Watts, D.J. and Strogatz, S.H. (1998)</w:t>
      </w:r>
      <w:r>
        <w:t xml:space="preserve"> </w:t>
      </w:r>
      <w:hyperlink r:id="rId115">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16"/>
    <w:bookmarkStart w:id="118" w:name="ref-strydomSVDEntropyReveals2021"/>
    <w:p>
      <w:pPr>
        <w:pStyle w:val="Bibliography"/>
      </w:pPr>
      <w:r>
        <w:t xml:space="preserve">18.</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17">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18"/>
    <w:bookmarkStart w:id="120" w:name="ref-jonssonReliabilityR50Measure2015"/>
    <w:p>
      <w:pPr>
        <w:pStyle w:val="Bibliography"/>
      </w:pPr>
      <w:r>
        <w:t xml:space="preserve">19.</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19">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20"/>
    <w:bookmarkStart w:id="122" w:name="ref-stoufferEvidenceExistenceRobust2007"/>
    <w:p>
      <w:pPr>
        <w:pStyle w:val="Bibliography"/>
      </w:pPr>
      <w:r>
        <w:t xml:space="preserve">20.</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2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22"/>
    <w:bookmarkStart w:id="124" w:name="ref-miloNetworkMotifsSimple2002"/>
    <w:p>
      <w:pPr>
        <w:pStyle w:val="Bibliography"/>
      </w:pPr>
      <w:r>
        <w:t xml:space="preserve">21.</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23">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24"/>
    <w:bookmarkStart w:id="126" w:name="ref-mccannWeakTrophicInteractions1998"/>
    <w:p>
      <w:pPr>
        <w:pStyle w:val="Bibliography"/>
      </w:pPr>
      <w:r>
        <w:t xml:space="preserve">22.</w:t>
      </w:r>
      <w:r>
        <w:t xml:space="preserve"> </w:t>
      </w:r>
      <w:r>
        <w:t xml:space="preserve">	</w:t>
      </w:r>
      <w:r>
        <w:t xml:space="preserve">McCann, K.</w:t>
      </w:r>
      <w:r>
        <w:t xml:space="preserve"> </w:t>
      </w:r>
      <w:r>
        <w:rPr>
          <w:i/>
          <w:iCs/>
        </w:rPr>
        <w:t xml:space="preserve">et al.</w:t>
      </w:r>
      <w:r>
        <w:t xml:space="preserve"> </w:t>
      </w:r>
      <w:r>
        <w:t xml:space="preserve">(1998)</w:t>
      </w:r>
      <w:r>
        <w:t xml:space="preserve"> </w:t>
      </w:r>
      <w:hyperlink r:id="rId125">
        <w:r>
          <w:rPr>
            <w:rStyle w:val="Hyperlink"/>
          </w:rPr>
          <w:t xml:space="preserve">Weak trophic interactions and the balance of nature</w:t>
        </w:r>
      </w:hyperlink>
      <w:r>
        <w:t xml:space="preserve">.</w:t>
      </w:r>
      <w:r>
        <w:t xml:space="preserve"> </w:t>
      </w:r>
      <w:r>
        <w:rPr>
          <w:i/>
          <w:iCs/>
        </w:rPr>
        <w:t xml:space="preserve">Nature</w:t>
      </w:r>
      <w:r>
        <w:t xml:space="preserve"> </w:t>
      </w:r>
      <w:r>
        <w:t xml:space="preserve">395, 794–798</w:t>
      </w:r>
    </w:p>
    <w:bookmarkEnd w:id="126"/>
    <w:bookmarkStart w:id="128" w:name="ref-montoyaEcologicalNetworksTheir2006"/>
    <w:p>
      <w:pPr>
        <w:pStyle w:val="Bibliography"/>
      </w:pPr>
      <w:r>
        <w:t xml:space="preserve">23.</w:t>
      </w:r>
      <w:r>
        <w:t xml:space="preserve"> </w:t>
      </w:r>
      <w:r>
        <w:t xml:space="preserve">	</w:t>
      </w:r>
      <w:r>
        <w:t xml:space="preserve">Montoya, J.M.</w:t>
      </w:r>
      <w:r>
        <w:t xml:space="preserve"> </w:t>
      </w:r>
      <w:r>
        <w:rPr>
          <w:i/>
          <w:iCs/>
        </w:rPr>
        <w:t xml:space="preserve">et al.</w:t>
      </w:r>
      <w:r>
        <w:t xml:space="preserve"> </w:t>
      </w:r>
      <w:r>
        <w:t xml:space="preserve">(2006)</w:t>
      </w:r>
      <w:r>
        <w:t xml:space="preserve"> </w:t>
      </w:r>
      <w:hyperlink r:id="rId127">
        <w:r>
          <w:rPr>
            <w:rStyle w:val="Hyperlink"/>
          </w:rPr>
          <w:t xml:space="preserve">Ecological networks and their fragility</w:t>
        </w:r>
      </w:hyperlink>
      <w:r>
        <w:t xml:space="preserve">.</w:t>
      </w:r>
      <w:r>
        <w:t xml:space="preserve"> </w:t>
      </w:r>
      <w:r>
        <w:rPr>
          <w:i/>
          <w:iCs/>
        </w:rPr>
        <w:t xml:space="preserve">Nature</w:t>
      </w:r>
      <w:r>
        <w:t xml:space="preserve"> </w:t>
      </w:r>
      <w:r>
        <w:t xml:space="preserve">442, 259–264</w:t>
      </w:r>
    </w:p>
    <w:bookmarkEnd w:id="128"/>
    <w:bookmarkStart w:id="130" w:name="X88ecdfa9d1446d08e01bc0778af629a0f4bd17b"/>
    <w:p>
      <w:pPr>
        <w:pStyle w:val="Bibliography"/>
      </w:pPr>
      <w:r>
        <w:t xml:space="preserve">24.</w:t>
      </w:r>
      <w:r>
        <w:t xml:space="preserve"> </w:t>
      </w:r>
      <w:r>
        <w:t xml:space="preserve">	</w:t>
      </w:r>
      <w:r>
        <w:t xml:space="preserve">McCann, K. and Hastings, A. (1997)</w:t>
      </w:r>
      <w:r>
        <w:t xml:space="preserve"> </w:t>
      </w:r>
      <w:hyperlink r:id="rId129">
        <w:r>
          <w:rPr>
            <w:rStyle w:val="Hyperlink"/>
          </w:rPr>
          <w:t xml:space="preserve">Re-</w:t>
        </w:r>
        <w:r>
          <w:rPr>
            <w:rStyle w:val="Hyperlink"/>
          </w:rPr>
          <w:t xml:space="preserve">Evaluating</w:t>
        </w:r>
        <w:r>
          <w:rPr>
            <w:rStyle w:val="Hyperlink"/>
          </w:rPr>
          <w:t xml:space="preserve"> </w:t>
        </w:r>
        <w:r>
          <w:rPr>
            <w:rStyle w:val="Hyperlink"/>
          </w:rPr>
          <w:t xml:space="preserve">the</w:t>
        </w:r>
        <w:r>
          <w:rPr>
            <w:rStyle w:val="Hyperlink"/>
          </w:rPr>
          <w:t xml:space="preserve"> </w:t>
        </w:r>
        <w:r>
          <w:rPr>
            <w:rStyle w:val="Hyperlink"/>
          </w:rPr>
          <w:t xml:space="preserve">Omnivory-Stability Relationship</w:t>
        </w:r>
        <w:r>
          <w:rPr>
            <w:rStyle w:val="Hyperlink"/>
          </w:rPr>
          <w:t xml:space="preserve"> </w:t>
        </w:r>
        <w:r>
          <w:rPr>
            <w:rStyle w:val="Hyperlink"/>
          </w:rPr>
          <w:t xml:space="preserve">in</w:t>
        </w:r>
        <w:r>
          <w:rPr>
            <w:rStyle w:val="Hyperlink"/>
          </w:rPr>
          <w:t xml:space="preserve"> </w:t>
        </w:r>
        <w:r>
          <w:rPr>
            <w:rStyle w:val="Hyperlink"/>
          </w:rPr>
          <w:t xml:space="preserve">Food Webs</w:t>
        </w:r>
      </w:hyperlink>
      <w:r>
        <w:t xml:space="preserve">.</w:t>
      </w:r>
      <w:r>
        <w:t xml:space="preserve"> </w:t>
      </w:r>
      <w:r>
        <w:rPr>
          <w:i/>
          <w:iCs/>
        </w:rPr>
        <w:t xml:space="preserve">Proceedings: Biological Sciences</w:t>
      </w:r>
      <w:r>
        <w:t xml:space="preserve"> </w:t>
      </w:r>
      <w:r>
        <w:t xml:space="preserve">264, 1249–1254</w:t>
      </w:r>
    </w:p>
    <w:bookmarkEnd w:id="130"/>
    <w:bookmarkStart w:id="132" w:name="ref-polisFoodWebComplexity1996"/>
    <w:p>
      <w:pPr>
        <w:pStyle w:val="Bibliography"/>
      </w:pPr>
      <w:r>
        <w:t xml:space="preserve">25.</w:t>
      </w:r>
      <w:r>
        <w:t xml:space="preserve"> </w:t>
      </w:r>
      <w:r>
        <w:t xml:space="preserve">	</w:t>
      </w:r>
      <w:r>
        <w:t xml:space="preserve">Polis, G.A. and Strong, D.R. (1996)</w:t>
      </w:r>
      <w:r>
        <w:t xml:space="preserve"> </w:t>
      </w:r>
      <w:hyperlink r:id="rId131">
        <w:r>
          <w:rPr>
            <w:rStyle w:val="Hyperlink"/>
          </w:rPr>
          <w:t xml:space="preserve">Food</w:t>
        </w:r>
        <w:r>
          <w:rPr>
            <w:rStyle w:val="Hyperlink"/>
          </w:rPr>
          <w:t xml:space="preserve"> </w:t>
        </w:r>
        <w:r>
          <w:rPr>
            <w:rStyle w:val="Hyperlink"/>
          </w:rPr>
          <w:t xml:space="preserve">Web Complexity</w:t>
        </w:r>
        <w:r>
          <w:rPr>
            <w:rStyle w:val="Hyperlink"/>
          </w:rPr>
          <w:t xml:space="preserve"> </w:t>
        </w:r>
        <w:r>
          <w:rPr>
            <w:rStyle w:val="Hyperlink"/>
          </w:rPr>
          <w:t xml:space="preserve">and</w:t>
        </w:r>
        <w:r>
          <w:rPr>
            <w:rStyle w:val="Hyperlink"/>
          </w:rPr>
          <w:t xml:space="preserve"> </w:t>
        </w:r>
        <w:r>
          <w:rPr>
            <w:rStyle w:val="Hyperlink"/>
          </w:rPr>
          <w:t xml:space="preserve">Community Dynamics</w:t>
        </w:r>
      </w:hyperlink>
      <w:r>
        <w:t xml:space="preserve">.</w:t>
      </w:r>
      <w:r>
        <w:t xml:space="preserve"> </w:t>
      </w:r>
      <w:r>
        <w:rPr>
          <w:i/>
          <w:iCs/>
        </w:rPr>
        <w:t xml:space="preserve">The American Naturalist</w:t>
      </w:r>
      <w:r>
        <w:t xml:space="preserve"> </w:t>
      </w:r>
      <w:r>
        <w:t xml:space="preserve">147, 813–846</w:t>
      </w:r>
    </w:p>
    <w:bookmarkEnd w:id="132"/>
    <w:bookmarkStart w:id="134" w:name="ref-emmersonWeakInteractionsOmnivory2004"/>
    <w:p>
      <w:pPr>
        <w:pStyle w:val="Bibliography"/>
      </w:pPr>
      <w:r>
        <w:t xml:space="preserve">26.</w:t>
      </w:r>
      <w:r>
        <w:t xml:space="preserve"> </w:t>
      </w:r>
      <w:r>
        <w:t xml:space="preserve">	</w:t>
      </w:r>
      <w:r>
        <w:t xml:space="preserve">Emmerson, M. and Yearsley, J.M. (2004)</w:t>
      </w:r>
      <w:r>
        <w:t xml:space="preserve"> </w:t>
      </w:r>
      <w:hyperlink r:id="rId133">
        <w:r>
          <w:rPr>
            <w:rStyle w:val="Hyperlink"/>
          </w:rPr>
          <w:t xml:space="preserve">Weak</w:t>
        </w:r>
        <w:r>
          <w:rPr>
            <w:rStyle w:val="Hyperlink"/>
          </w:rPr>
          <w:t xml:space="preserve"> </w:t>
        </w:r>
        <w:r>
          <w:rPr>
            <w:rStyle w:val="Hyperlink"/>
          </w:rPr>
          <w:t xml:space="preserve">Interactions</w:t>
        </w:r>
        <w:r>
          <w:rPr>
            <w:rStyle w:val="Hyperlink"/>
          </w:rPr>
          <w:t xml:space="preserve">,</w:t>
        </w:r>
        <w:r>
          <w:rPr>
            <w:rStyle w:val="Hyperlink"/>
          </w:rPr>
          <w:t xml:space="preserve"> </w:t>
        </w:r>
        <w:r>
          <w:rPr>
            <w:rStyle w:val="Hyperlink"/>
          </w:rPr>
          <w:t xml:space="preserve">Omnivory</w:t>
        </w:r>
        <w:r>
          <w:rPr>
            <w:rStyle w:val="Hyperlink"/>
          </w:rPr>
          <w:t xml:space="preserve"> </w:t>
        </w:r>
        <w:r>
          <w:rPr>
            <w:rStyle w:val="Hyperlink"/>
          </w:rPr>
          <w:t xml:space="preserve">and</w:t>
        </w:r>
        <w:r>
          <w:rPr>
            <w:rStyle w:val="Hyperlink"/>
          </w:rPr>
          <w:t xml:space="preserve"> </w:t>
        </w:r>
        <w:r>
          <w:rPr>
            <w:rStyle w:val="Hyperlink"/>
          </w:rPr>
          <w:t xml:space="preserve">Emergent Food-Web Properties</w:t>
        </w:r>
      </w:hyperlink>
      <w:r>
        <w:t xml:space="preserve">.</w:t>
      </w:r>
      <w:r>
        <w:t xml:space="preserve"> </w:t>
      </w:r>
      <w:r>
        <w:rPr>
          <w:i/>
          <w:iCs/>
        </w:rPr>
        <w:t xml:space="preserve">Proceedings: Biological Sciences</w:t>
      </w:r>
      <w:r>
        <w:t xml:space="preserve"> </w:t>
      </w:r>
      <w:r>
        <w:t xml:space="preserve">271, 397–405</w:t>
      </w:r>
    </w:p>
    <w:bookmarkEnd w:id="134"/>
    <w:bookmarkStart w:id="136" w:name="X213a6aaf50050957348988b5bbabc4dd1122e7b"/>
    <w:p>
      <w:pPr>
        <w:pStyle w:val="Bibliography"/>
      </w:pPr>
      <w:r>
        <w:t xml:space="preserve">27.</w:t>
      </w:r>
      <w:r>
        <w:t xml:space="preserve"> </w:t>
      </w:r>
      <w:r>
        <w:t xml:space="preserve">	</w:t>
      </w:r>
      <w:r>
        <w:t xml:space="preserve">Walker, B.H. (1992)</w:t>
      </w:r>
      <w:r>
        <w:t xml:space="preserve"> </w:t>
      </w:r>
      <w:hyperlink r:id="rId135">
        <w:r>
          <w:rPr>
            <w:rStyle w:val="Hyperlink"/>
          </w:rPr>
          <w:t xml:space="preserve">Biodiversity and</w:t>
        </w:r>
        <w:r>
          <w:rPr>
            <w:rStyle w:val="Hyperlink"/>
          </w:rPr>
          <w:t xml:space="preserve"> </w:t>
        </w:r>
        <w:r>
          <w:rPr>
            <w:rStyle w:val="Hyperlink"/>
          </w:rPr>
          <w:t xml:space="preserve">Ecological Redundancy</w:t>
        </w:r>
      </w:hyperlink>
      <w:r>
        <w:t xml:space="preserve">.</w:t>
      </w:r>
      <w:r>
        <w:t xml:space="preserve"> </w:t>
      </w:r>
      <w:r>
        <w:rPr>
          <w:i/>
          <w:iCs/>
        </w:rPr>
        <w:t xml:space="preserve">Conservation Biology</w:t>
      </w:r>
      <w:r>
        <w:t xml:space="preserve"> </w:t>
      </w:r>
      <w:r>
        <w:t xml:space="preserve">6, 18–23</w:t>
      </w:r>
    </w:p>
    <w:bookmarkEnd w:id="136"/>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5" Target="https://doi.org/10.1002/ecs2.1900" TargetMode="External" /><Relationship Type="http://schemas.openxmlformats.org/officeDocument/2006/relationships/hyperlink" Id="rId107" Target="https://doi.org/10.1016/j.tree.2012.08.005" TargetMode="External" /><Relationship Type="http://schemas.openxmlformats.org/officeDocument/2006/relationships/hyperlink" Id="rId87" Target="https://doi.org/10.1038/238413a0" TargetMode="External" /><Relationship Type="http://schemas.openxmlformats.org/officeDocument/2006/relationships/hyperlink" Id="rId125" Target="https://doi.org/10.1038/27427" TargetMode="External" /><Relationship Type="http://schemas.openxmlformats.org/officeDocument/2006/relationships/hyperlink" Id="rId105" Target="https://doi.org/10.1038/307321a0" TargetMode="External" /><Relationship Type="http://schemas.openxmlformats.org/officeDocument/2006/relationships/hyperlink" Id="rId115" Target="https://doi.org/10.1038/30918" TargetMode="External" /><Relationship Type="http://schemas.openxmlformats.org/officeDocument/2006/relationships/hyperlink" Id="rId91" Target="https://doi.org/10.1038/35012234" TargetMode="External" /><Relationship Type="http://schemas.openxmlformats.org/officeDocument/2006/relationships/hyperlink" Id="rId127" Target="https://doi.org/10.1038/nature04927" TargetMode="External" /><Relationship Type="http://schemas.openxmlformats.org/officeDocument/2006/relationships/hyperlink" Id="rId93" Target="https://doi.org/10.1038/nature10832" TargetMode="External" /><Relationship Type="http://schemas.openxmlformats.org/officeDocument/2006/relationships/hyperlink" Id="rId97" Target="https://doi.org/10.1073/pnas.1409077111" TargetMode="External" /><Relationship Type="http://schemas.openxmlformats.org/officeDocument/2006/relationships/hyperlink" Id="rId109" Target="https://doi.org/10.1086/381964" TargetMode="External" /><Relationship Type="http://schemas.openxmlformats.org/officeDocument/2006/relationships/hyperlink" Id="rId121" Target="https://doi.org/10.1098/rspb.2007.0571" TargetMode="External" /><Relationship Type="http://schemas.openxmlformats.org/officeDocument/2006/relationships/hyperlink" Id="rId103" Target="https://doi.org/10.1111/ele.12073" TargetMode="External" /><Relationship Type="http://schemas.openxmlformats.org/officeDocument/2006/relationships/hyperlink" Id="rId95" Target="https://doi.org/10.1111/j.1461-0248.2009.01407.x" TargetMode="External" /><Relationship Type="http://schemas.openxmlformats.org/officeDocument/2006/relationships/hyperlink" Id="rId119" Target="https://doi.org/10.1111/oik.01588" TargetMode="External" /><Relationship Type="http://schemas.openxmlformats.org/officeDocument/2006/relationships/hyperlink" Id="rId101" Target="https://doi.org/10.1126/science.1133258" TargetMode="External" /><Relationship Type="http://schemas.openxmlformats.org/officeDocument/2006/relationships/hyperlink" Id="rId123" Target="https://doi.org/10.1126/science.298.5594.824" TargetMode="External" /><Relationship Type="http://schemas.openxmlformats.org/officeDocument/2006/relationships/hyperlink" Id="rId83" Target="https://doi.org/10.1890/07-0978.1" TargetMode="External" /><Relationship Type="http://schemas.openxmlformats.org/officeDocument/2006/relationships/hyperlink" Id="rId113" Target="https://doi.org/10.1890/07-1419.1" TargetMode="External" /><Relationship Type="http://schemas.openxmlformats.org/officeDocument/2006/relationships/hyperlink" Id="rId99" Target="https://doi.org/10.2307/2265614" TargetMode="External" /><Relationship Type="http://schemas.openxmlformats.org/officeDocument/2006/relationships/hyperlink" Id="rId111" Target="https://doi.org/10.2307/3546748" TargetMode="External" /><Relationship Type="http://schemas.openxmlformats.org/officeDocument/2006/relationships/hyperlink" Id="rId89" Target="https://doi.org/10.2307/j.ctvs32rq4" TargetMode="External" /><Relationship Type="http://schemas.openxmlformats.org/officeDocument/2006/relationships/hyperlink" Id="rId117" Target="https://doi.org/10.3389/fevo.2021.623141" TargetMode="External" /><Relationship Type="http://schemas.openxmlformats.org/officeDocument/2006/relationships/hyperlink" Id="rId135" Target="https://www.jstor.org/stable/2385847" TargetMode="External" /><Relationship Type="http://schemas.openxmlformats.org/officeDocument/2006/relationships/hyperlink" Id="rId131" Target="https://www.jstor.org/stable/2463091" TargetMode="External" /><Relationship Type="http://schemas.openxmlformats.org/officeDocument/2006/relationships/hyperlink" Id="rId133" Target="https://www.jstor.org/stable/4142589" TargetMode="External" /><Relationship Type="http://schemas.openxmlformats.org/officeDocument/2006/relationships/hyperlink" Id="rId129" Target="https://www.jstor.org/stable/50878"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2/ecs2.1900" TargetMode="External" /><Relationship Type="http://schemas.openxmlformats.org/officeDocument/2006/relationships/hyperlink" Id="rId107" Target="https://doi.org/10.1016/j.tree.2012.08.005" TargetMode="External" /><Relationship Type="http://schemas.openxmlformats.org/officeDocument/2006/relationships/hyperlink" Id="rId87" Target="https://doi.org/10.1038/238413a0" TargetMode="External" /><Relationship Type="http://schemas.openxmlformats.org/officeDocument/2006/relationships/hyperlink" Id="rId125" Target="https://doi.org/10.1038/27427" TargetMode="External" /><Relationship Type="http://schemas.openxmlformats.org/officeDocument/2006/relationships/hyperlink" Id="rId105" Target="https://doi.org/10.1038/307321a0" TargetMode="External" /><Relationship Type="http://schemas.openxmlformats.org/officeDocument/2006/relationships/hyperlink" Id="rId115" Target="https://doi.org/10.1038/30918" TargetMode="External" /><Relationship Type="http://schemas.openxmlformats.org/officeDocument/2006/relationships/hyperlink" Id="rId91" Target="https://doi.org/10.1038/35012234" TargetMode="External" /><Relationship Type="http://schemas.openxmlformats.org/officeDocument/2006/relationships/hyperlink" Id="rId127" Target="https://doi.org/10.1038/nature04927" TargetMode="External" /><Relationship Type="http://schemas.openxmlformats.org/officeDocument/2006/relationships/hyperlink" Id="rId93" Target="https://doi.org/10.1038/nature10832" TargetMode="External" /><Relationship Type="http://schemas.openxmlformats.org/officeDocument/2006/relationships/hyperlink" Id="rId97" Target="https://doi.org/10.1073/pnas.1409077111" TargetMode="External" /><Relationship Type="http://schemas.openxmlformats.org/officeDocument/2006/relationships/hyperlink" Id="rId109" Target="https://doi.org/10.1086/381964" TargetMode="External" /><Relationship Type="http://schemas.openxmlformats.org/officeDocument/2006/relationships/hyperlink" Id="rId121" Target="https://doi.org/10.1098/rspb.2007.0571" TargetMode="External" /><Relationship Type="http://schemas.openxmlformats.org/officeDocument/2006/relationships/hyperlink" Id="rId103" Target="https://doi.org/10.1111/ele.12073" TargetMode="External" /><Relationship Type="http://schemas.openxmlformats.org/officeDocument/2006/relationships/hyperlink" Id="rId95" Target="https://doi.org/10.1111/j.1461-0248.2009.01407.x" TargetMode="External" /><Relationship Type="http://schemas.openxmlformats.org/officeDocument/2006/relationships/hyperlink" Id="rId119" Target="https://doi.org/10.1111/oik.01588" TargetMode="External" /><Relationship Type="http://schemas.openxmlformats.org/officeDocument/2006/relationships/hyperlink" Id="rId101" Target="https://doi.org/10.1126/science.1133258" TargetMode="External" /><Relationship Type="http://schemas.openxmlformats.org/officeDocument/2006/relationships/hyperlink" Id="rId123" Target="https://doi.org/10.1126/science.298.5594.824" TargetMode="External" /><Relationship Type="http://schemas.openxmlformats.org/officeDocument/2006/relationships/hyperlink" Id="rId83" Target="https://doi.org/10.1890/07-0978.1" TargetMode="External" /><Relationship Type="http://schemas.openxmlformats.org/officeDocument/2006/relationships/hyperlink" Id="rId113" Target="https://doi.org/10.1890/07-1419.1" TargetMode="External" /><Relationship Type="http://schemas.openxmlformats.org/officeDocument/2006/relationships/hyperlink" Id="rId99" Target="https://doi.org/10.2307/2265614" TargetMode="External" /><Relationship Type="http://schemas.openxmlformats.org/officeDocument/2006/relationships/hyperlink" Id="rId111" Target="https://doi.org/10.2307/3546748" TargetMode="External" /><Relationship Type="http://schemas.openxmlformats.org/officeDocument/2006/relationships/hyperlink" Id="rId89" Target="https://doi.org/10.2307/j.ctvs32rq4" TargetMode="External" /><Relationship Type="http://schemas.openxmlformats.org/officeDocument/2006/relationships/hyperlink" Id="rId117" Target="https://doi.org/10.3389/fevo.2021.623141" TargetMode="External" /><Relationship Type="http://schemas.openxmlformats.org/officeDocument/2006/relationships/hyperlink" Id="rId135" Target="https://www.jstor.org/stable/2385847" TargetMode="External" /><Relationship Type="http://schemas.openxmlformats.org/officeDocument/2006/relationships/hyperlink" Id="rId131" Target="https://www.jstor.org/stable/2463091" TargetMode="External" /><Relationship Type="http://schemas.openxmlformats.org/officeDocument/2006/relationships/hyperlink" Id="rId133" Target="https://www.jstor.org/stable/4142589" TargetMode="External" /><Relationship Type="http://schemas.openxmlformats.org/officeDocument/2006/relationships/hyperlink" Id="rId129" Target="https://www.jstor.org/stable/508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2026-03-16T12:38:33Z</dcterms:created>
  <dcterms:modified xsi:type="dcterms:W3CDTF">2026-03-16T12:38:33Z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2026-03-16</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