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2026-03-03</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23"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20"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w:t>
      </w:r>
      <w:r>
        <w:t xml:space="preserve"> </w:t>
      </w:r>
      <w:r>
        <w:t xml:space="preserve">“shape”</w:t>
      </w:r>
      <w:r>
        <w:t xml:space="preserve"> </w:t>
      </w:r>
      <w:r>
        <w:t xml:space="preserve">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20"/>
    <w:bookmarkStart w:id="21"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21"/>
    <w:bookmarkStart w:id="22"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22"/>
    <w:bookmarkEnd w:id="23"/>
    <w:bookmarkStart w:id="28" w:name="materials-methods"/>
    <w:p>
      <w:pPr>
        <w:pStyle w:val="Heading1"/>
      </w:pPr>
      <w:r>
        <w:t xml:space="preserve">2. Materials &amp; Methods</w:t>
      </w:r>
    </w:p>
    <w:bookmarkStart w:id="25"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24"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24"/>
          <w:p/>
        </w:tc>
      </w:tr>
    </w:tbl>
    <w:bookmarkEnd w:id="25"/>
    <w:bookmarkStart w:id="26"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26"/>
    <w:bookmarkStart w:id="27"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d>
          <m:dPr>
            <m:begChr m:val="("/>
            <m:sepChr m:val=""/>
            <m:endChr m:val=")"/>
            <m:grow/>
          </m:dPr>
          <m:e>
            <m:r>
              <m:t>x</m:t>
            </m:r>
            <m:r>
              <m:rPr>
                <m:sty m:val="p"/>
              </m:rPr>
              <m:t>+</m:t>
            </m:r>
            <m:r>
              <m:t>1</m:t>
            </m:r>
          </m:e>
        </m:d>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d>
              <m:dPr>
                <m:begChr m:val="("/>
                <m:sepChr m:val=""/>
                <m:endChr m:val=")"/>
                <m:grow/>
              </m:dPr>
              <m:e>
                <m:r>
                  <m:t>r</m:t>
                </m:r>
              </m:e>
            </m:d>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d>
          <m:dPr>
            <m:begChr m:val="|"/>
            <m:sepChr m:val=""/>
            <m:endChr m:val="|"/>
            <m:grow/>
          </m:dPr>
          <m:e>
            <m:sSub>
              <m:e>
                <m:r>
                  <m:t>Z</m:t>
                </m:r>
              </m:e>
              <m:sub>
                <m:r>
                  <m:t>m</m:t>
                </m:r>
                <m:r>
                  <m:t>k</m:t>
                </m:r>
              </m:sub>
            </m:sSub>
          </m:e>
        </m:d>
        <m:r>
          <m:rPr>
            <m:sty m:val="p"/>
          </m:rPr>
          <m:t>&gt;</m:t>
        </m:r>
        <m:r>
          <m:t>1.96</m:t>
        </m:r>
      </m:oMath>
    </w:p>
    <w:p>
      <w:pPr>
        <w:pStyle w:val="BodyText"/>
      </w:pPr>
      <m:oMathPara>
        <m:oMathParaPr>
          <m:jc m:val="center"/>
        </m:oMathParaPr>
        <m:oMath>
          <m:sSub>
            <m:e>
              <m:r>
                <m:t>p</m:t>
              </m:r>
            </m:e>
            <m:sub>
              <m:r>
                <m:t>m</m:t>
              </m:r>
              <m:r>
                <m:t>k</m:t>
              </m:r>
            </m:sub>
          </m:sSub>
          <m:r>
            <m:rPr>
              <m:sty m:val="p"/>
            </m:rPr>
            <m:t>=</m:t>
          </m:r>
          <m:r>
            <m:t>P</m:t>
          </m:r>
          <m:d>
            <m:dPr>
              <m:begChr m:val="("/>
              <m:sepChr m:val=""/>
              <m:endChr m:val=")"/>
              <m:grow/>
            </m:dPr>
            <m:e>
              <m:sSubSup>
                <m:e>
                  <m:r>
                    <m:t>A</m:t>
                  </m:r>
                </m:e>
                <m:sub>
                  <m:r>
                    <m:t>m</m:t>
                  </m:r>
                  <m:r>
                    <m:t>k</m:t>
                  </m:r>
                </m:sub>
                <m:sup>
                  <m:d>
                    <m:dPr>
                      <m:begChr m:val="("/>
                      <m:sepChr m:val=""/>
                      <m:endChr m:val=")"/>
                      <m:grow/>
                    </m:dPr>
                    <m:e>
                      <m:r>
                        <m:t>r</m:t>
                      </m:r>
                    </m:e>
                  </m:d>
                </m:sup>
              </m:sSubSup>
              <m:r>
                <m:rPr>
                  <m:sty m:val="p"/>
                </m:rPr>
                <m:t>&gt;</m:t>
              </m:r>
              <m:sSub>
                <m:e>
                  <m:r>
                    <m:t>A</m:t>
                  </m:r>
                </m:e>
                <m:sub>
                  <m:r>
                    <m:t>m</m:t>
                  </m:r>
                  <m:r>
                    <m:t>k</m:t>
                  </m:r>
                </m:sub>
              </m:sSub>
            </m:e>
          </m:d>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d>
              <m:dPr>
                <m:begChr m:val="("/>
                <m:sepChr m:val=""/>
                <m:endChr m:val=")"/>
                <m:grow/>
              </m:dPr>
              <m:e>
                <m:r>
                  <m:t>r</m:t>
                </m:r>
              </m:e>
            </m:d>
          </m:sup>
        </m:sSup>
      </m:oMath>
      <w:r>
        <w:t xml:space="preserve">). Where</w:t>
      </w:r>
      <w:r>
        <w:t xml:space="preserve"> </w:t>
      </w:r>
      <m:oMath>
        <m:sSub>
          <m:e>
            <m:r>
              <m:t>p</m:t>
            </m:r>
          </m:e>
          <m:sub>
            <m:r>
              <m:t>g</m:t>
            </m:r>
            <m:r>
              <m:t>l</m:t>
            </m:r>
            <m:r>
              <m:t>o</m:t>
            </m:r>
            <m:r>
              <m:t>b</m:t>
            </m:r>
            <m:r>
              <m:t>a</m:t>
            </m:r>
            <m:r>
              <m:t>l</m:t>
            </m:r>
          </m:sub>
        </m:sSub>
        <m:r>
          <m:rPr>
            <m:sty m:val="p"/>
          </m:rPr>
          <m:t>=</m:t>
        </m:r>
        <m:r>
          <m:t>P</m:t>
        </m:r>
        <m:d>
          <m:dPr>
            <m:begChr m:val="("/>
            <m:sepChr m:val=""/>
            <m:endChr m:val=")"/>
            <m:grow/>
          </m:dPr>
          <m:e>
            <m:sSup>
              <m:e>
                <m:r>
                  <m:t>T</m:t>
                </m:r>
              </m:e>
              <m:sup>
                <m:d>
                  <m:dPr>
                    <m:begChr m:val="("/>
                    <m:sepChr m:val=""/>
                    <m:endChr m:val=")"/>
                    <m:grow/>
                  </m:dPr>
                  <m:e>
                    <m:r>
                      <m:t>r</m:t>
                    </m:r>
                  </m:e>
                </m:d>
              </m:sup>
            </m:sSup>
            <m:r>
              <m:rPr>
                <m:sty m:val="p"/>
              </m:rPr>
              <m:t>≥</m:t>
            </m:r>
            <m:r>
              <m:t>T</m:t>
            </m:r>
          </m:e>
        </m:d>
      </m:oMath>
      <w:r>
        <w:t xml:space="preserve">. A significant result indicates that module structure explains multivariate variance better than random groupings.</w:t>
      </w:r>
    </w:p>
    <w:bookmarkEnd w:id="27"/>
    <w:bookmarkEnd w:id="28"/>
    <w:bookmarkStart w:id="49" w:name="results"/>
    <w:p>
      <w:pPr>
        <w:pStyle w:val="Heading1"/>
      </w:pPr>
      <w:r>
        <w:t xml:space="preserve">3. Results</w:t>
      </w:r>
    </w:p>
    <w:bookmarkStart w:id="33"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32" w:name="fig-cluster"/>
          <w:p>
            <w:pPr>
              <w:pStyle w:val="Compact"/>
              <w:jc w:val="center"/>
            </w:pPr>
            <w:r>
              <w:drawing>
                <wp:inline>
                  <wp:extent cx="5334000" cy="2667000"/>
                  <wp:effectExtent b="0" l="0" r="0" t="0"/>
                  <wp:docPr descr="" title="" id="30" name="Picture"/>
                  <a:graphic>
                    <a:graphicData uri="http://schemas.openxmlformats.org/drawingml/2006/picture">
                      <pic:pic>
                        <pic:nvPicPr>
                          <pic:cNvPr descr="figures/cluster_dendrogram.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32"/>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33"/>
    <w:bookmarkStart w:id="35"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34"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34"/>
          <w:p/>
        </w:tc>
      </w:tr>
    </w:tbl>
    <w:bookmarkEnd w:id="35"/>
    <w:bookmarkStart w:id="48"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9" w:name="fig-pca"/>
          <w:p>
            <w:pPr>
              <w:pStyle w:val="Compact"/>
              <w:jc w:val="center"/>
            </w:pPr>
            <w:r>
              <w:drawing>
                <wp:inline>
                  <wp:extent cx="5334000" cy="3413760"/>
                  <wp:effectExtent b="0" l="0" r="0" t="0"/>
                  <wp:docPr descr="" title="" id="37" name="Picture"/>
                  <a:graphic>
                    <a:graphicData uri="http://schemas.openxmlformats.org/drawingml/2006/picture">
                      <pic:pic>
                        <pic:nvPicPr>
                          <pic:cNvPr descr="figures/pca_loadings.png" id="38" name="Picture"/>
                          <pic:cNvPicPr>
                            <a:picLocks noChangeArrowheads="1" noChangeAspect="1"/>
                          </pic:cNvPicPr>
                        </pic:nvPicPr>
                        <pic:blipFill>
                          <a:blip r:embed="rId36"/>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9"/>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43" w:name="fig-alignment_heatmap"/>
          <w:p>
            <w:pPr>
              <w:pStyle w:val="Compact"/>
              <w:jc w:val="center"/>
            </w:pPr>
            <w:r>
              <w:drawing>
                <wp:inline>
                  <wp:extent cx="5334000" cy="2667000"/>
                  <wp:effectExtent b="0" l="0" r="0" t="0"/>
                  <wp:docPr descr="" title="" id="41" name="Picture"/>
                  <a:graphic>
                    <a:graphicData uri="http://schemas.openxmlformats.org/drawingml/2006/picture">
                      <pic:pic>
                        <pic:nvPicPr>
                          <pic:cNvPr descr="figures/module_alignment_heatmap.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43"/>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7" w:name="fig-alignment_signif"/>
          <w:p>
            <w:pPr>
              <w:pStyle w:val="Compact"/>
              <w:jc w:val="center"/>
            </w:pPr>
            <w:r>
              <w:drawing>
                <wp:inline>
                  <wp:extent cx="5334000" cy="2667000"/>
                  <wp:effectExtent b="0" l="0" r="0" t="0"/>
                  <wp:docPr descr="" title="" id="45" name="Picture"/>
                  <a:graphic>
                    <a:graphicData uri="http://schemas.openxmlformats.org/drawingml/2006/picture">
                      <pic:pic>
                        <pic:nvPicPr>
                          <pic:cNvPr descr="figures/heatmap_zscores.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7"/>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8"/>
    <w:bookmarkEnd w:id="49"/>
    <w:bookmarkStart w:id="56" w:name="discussion"/>
    <w:p>
      <w:pPr>
        <w:pStyle w:val="Heading1"/>
      </w:pPr>
      <w:r>
        <w:t xml:space="preserve">4. Discussion</w:t>
      </w:r>
    </w:p>
    <w:bookmarkStart w:id="50" w:name="Xaba5ec532fb6845195cb93ccf86bb1feb69a370"/>
    <w:p>
      <w:pPr>
        <w:pStyle w:val="Heading2"/>
      </w:pPr>
      <w:r>
        <w:t xml:space="preserve">4.1 Why consensus on</w:t>
      </w:r>
      <w:r>
        <w:t xml:space="preserve"> </w:t>
      </w:r>
      <w:r>
        <w:t xml:space="preserve">“the best metric”</w:t>
      </w:r>
      <w:r>
        <w:t xml:space="preserve"> </w:t>
      </w:r>
      <w:r>
        <w:t xml:space="preserve">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w:t>
      </w:r>
      <w:r>
        <w:t xml:space="preserve"> </w:t>
      </w:r>
      <w:r>
        <w:t xml:space="preserve">“wrong,”</w:t>
      </w:r>
      <w:r>
        <w:t xml:space="preserve"> </w:t>
      </w:r>
      <w:r>
        <w:t xml:space="preserve">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w:t>
      </w:r>
      <w:r>
        <w:t xml:space="preserve"> </w:t>
      </w:r>
      <w:r>
        <w:t xml:space="preserve">“stability”</w:t>
      </w:r>
      <w:r>
        <w:t xml:space="preserve"> </w:t>
      </w:r>
      <w:r>
        <w:t xml:space="preserve">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50"/>
    <w:bookmarkStart w:id="51"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51"/>
    <w:bookmarkStart w:id="52"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w:t>
      </w:r>
      <w:r>
        <w:t xml:space="preserve"> </w:t>
      </w:r>
      <w:r>
        <w:t xml:space="preserve">“complexity begets instability”</w:t>
      </w:r>
      <w:r>
        <w:t xml:space="preserve"> </w:t>
      </w:r>
      <w:r>
        <w:t xml:space="preserve">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w:t>
      </w:r>
      <w:r>
        <w:t xml:space="preserve"> </w:t>
      </w:r>
      <w:r>
        <w:t xml:space="preserve">“complexity,”</w:t>
      </w:r>
      <w:r>
        <w:t xml:space="preserve"> </w:t>
      </w:r>
      <w:r>
        <w:t xml:space="preserve">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52"/>
    <w:bookmarkStart w:id="53"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53"/>
    <w:bookmarkStart w:id="54"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w:t>
      </w:r>
      <w:r>
        <w:t xml:space="preserve"> </w:t>
      </w:r>
      <w:r>
        <w:t xml:space="preserve">“Which metric best predicts stability?”</w:t>
      </w:r>
      <w:r>
        <w:t xml:space="preserve"> </w:t>
      </w:r>
      <w:r>
        <w:t xml:space="preserve">to</w:t>
      </w:r>
      <w:r>
        <w:t xml:space="preserve"> </w:t>
      </w:r>
      <w:r>
        <w:t xml:space="preserve">“Which structural dimension corresponds to the stability mechanism of interest?”</w:t>
      </w:r>
    </w:p>
    <w:bookmarkEnd w:id="54"/>
    <w:bookmarkStart w:id="55"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55"/>
    <w:bookmarkEnd w:id="56"/>
    <w:bookmarkStart w:id="59"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57"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57"/>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58"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w:t>
                  </w:r>
                  <w:r>
                    <w:t xml:space="preserve"> </w:t>
                  </w:r>
                  <w:r>
                    <w:t xml:space="preserve">‘shape’</w:t>
                  </w:r>
                  <w:r>
                    <w:t xml:space="preserve"> </w:t>
                  </w:r>
                  <w:r>
                    <w:t xml:space="preserve">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58"/>
          <w:p/>
        </w:tc>
      </w:tr>
    </w:tbl>
    <w:bookmarkEnd w:id="59"/>
    <w:bookmarkStart w:id="95" w:name="references"/>
    <w:p>
      <w:pPr>
        <w:pStyle w:val="Heading1"/>
      </w:pPr>
      <w:r>
        <w:t xml:space="preserve">References</w:t>
      </w:r>
    </w:p>
    <w:bookmarkStart w:id="94" w:name="refs"/>
    <w:bookmarkStart w:id="61" w:name="X364e9e1ae4fcdffd15c6495ab47a85eeafc0b8c"/>
    <w:p>
      <w:pPr>
        <w:pStyle w:val="Bibliography"/>
      </w:pPr>
      <w:r>
        <w:t xml:space="preserve">1.</w:t>
      </w:r>
      <w:r>
        <w:t xml:space="preserve"> </w:t>
      </w:r>
      <w:r>
        <w:t xml:space="preserve">	</w:t>
      </w:r>
      <w:r>
        <w:t xml:space="preserve">Stouffer, D.B. and Bascompte, J. (2011)</w:t>
      </w:r>
      <w:r>
        <w:t xml:space="preserve"> </w:t>
      </w:r>
      <w:hyperlink r:id="rId60">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61"/>
    <w:bookmarkStart w:id="63"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62">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63"/>
    <w:bookmarkStart w:id="65"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6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65"/>
    <w:bookmarkStart w:id="67"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66">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67"/>
    <w:bookmarkStart w:id="69" w:name="ref-williamsLimitsTrophicLevels2004"/>
    <w:p>
      <w:pPr>
        <w:pStyle w:val="Bibliography"/>
      </w:pPr>
      <w:r>
        <w:t xml:space="preserve">5.</w:t>
      </w:r>
      <w:r>
        <w:t xml:space="preserve"> </w:t>
      </w:r>
      <w:r>
        <w:t xml:space="preserve">	</w:t>
      </w:r>
      <w:r>
        <w:t xml:space="preserve">Williams, R.J. and Martinez, N.D. (2004)</w:t>
      </w:r>
      <w:r>
        <w:t xml:space="preserve"> </w:t>
      </w:r>
      <w:hyperlink r:id="rId68">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69"/>
    <w:bookmarkStart w:id="71" w:name="X781f7e482417d8f33d808967da8cf24a047c245"/>
    <w:p>
      <w:pPr>
        <w:pStyle w:val="Bibliography"/>
      </w:pPr>
      <w:r>
        <w:t xml:space="preserve">6.</w:t>
      </w:r>
      <w:r>
        <w:t xml:space="preserve"> </w:t>
      </w:r>
      <w:r>
        <w:t xml:space="preserve">	</w:t>
      </w:r>
      <w:r>
        <w:t xml:space="preserve">Yodzis, P. and Winemiller, K.O. (1999)</w:t>
      </w:r>
      <w:r>
        <w:t xml:space="preserve"> </w:t>
      </w:r>
      <w:hyperlink r:id="rId70">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71"/>
    <w:bookmarkStart w:id="73" w:name="ref-estradaUsingNetworkCentrality2008"/>
    <w:p>
      <w:pPr>
        <w:pStyle w:val="Bibliography"/>
      </w:pPr>
      <w:r>
        <w:t xml:space="preserve">7.</w:t>
      </w:r>
      <w:r>
        <w:t xml:space="preserve"> </w:t>
      </w:r>
      <w:r>
        <w:t xml:space="preserve">	</w:t>
      </w:r>
      <w:r>
        <w:t xml:space="preserve">Estrada, E. and Bodin, Ö. (2008)</w:t>
      </w:r>
      <w:r>
        <w:t xml:space="preserve"> </w:t>
      </w:r>
      <w:hyperlink r:id="rId72">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73"/>
    <w:bookmarkStart w:id="75" w:name="ref-mccannDiversityStabilityDebate2000"/>
    <w:p>
      <w:pPr>
        <w:pStyle w:val="Bibliography"/>
      </w:pPr>
      <w:r>
        <w:t xml:space="preserve">8.</w:t>
      </w:r>
      <w:r>
        <w:t xml:space="preserve"> </w:t>
      </w:r>
      <w:r>
        <w:t xml:space="preserve">	</w:t>
      </w:r>
      <w:r>
        <w:t xml:space="preserve">McCann, K.S. (2000)</w:t>
      </w:r>
      <w:r>
        <w:t xml:space="preserve"> </w:t>
      </w:r>
      <w:hyperlink r:id="rId74">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75"/>
    <w:bookmarkStart w:id="77" w:name="X5f45a7a099d08070703fc184810d23dd2e88abd"/>
    <w:p>
      <w:pPr>
        <w:pStyle w:val="Bibliography"/>
      </w:pPr>
      <w:r>
        <w:t xml:space="preserve">9.</w:t>
      </w:r>
      <w:r>
        <w:t xml:space="preserve"> </w:t>
      </w:r>
      <w:r>
        <w:t xml:space="preserve">	</w:t>
      </w:r>
      <w:r>
        <w:t xml:space="preserve">Watts, D.J. and Strogatz, S.H. (1998)</w:t>
      </w:r>
      <w:r>
        <w:t xml:space="preserve"> </w:t>
      </w:r>
      <w:hyperlink r:id="rId76">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77"/>
    <w:bookmarkStart w:id="79"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78">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79"/>
    <w:bookmarkStart w:id="81"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80">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81"/>
    <w:bookmarkStart w:id="83"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82">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83"/>
    <w:bookmarkStart w:id="85"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84">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85"/>
    <w:bookmarkStart w:id="87"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86">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87"/>
    <w:bookmarkStart w:id="89"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88">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89"/>
    <w:bookmarkStart w:id="91"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90">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91"/>
    <w:bookmarkStart w:id="93" w:name="Xd412d50b01317b0aa54d10c40af293c2515ab19"/>
    <w:p>
      <w:pPr>
        <w:pStyle w:val="Bibliography"/>
      </w:pPr>
      <w:r>
        <w:t xml:space="preserve">17.</w:t>
      </w:r>
      <w:r>
        <w:t xml:space="preserve"> </w:t>
      </w:r>
      <w:r>
        <w:t xml:space="preserve">	</w:t>
      </w:r>
      <w:r>
        <w:t xml:space="preserve">Ulanowicz, R.E. (2001)</w:t>
      </w:r>
      <w:r>
        <w:t xml:space="preserve"> </w:t>
      </w:r>
      <w:hyperlink r:id="rId92">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64" Target="https://doi.org/10.1002/ecs2.1900" TargetMode="External" /><Relationship Type="http://schemas.openxmlformats.org/officeDocument/2006/relationships/hyperlink" Id="rId92" Target="https://doi.org/10.1016/S0097-8485(01)00073-0" TargetMode="External" /><Relationship Type="http://schemas.openxmlformats.org/officeDocument/2006/relationships/hyperlink" Id="rId62" Target="https://doi.org/10.1016/j.tree.2012.08.005" TargetMode="External" /><Relationship Type="http://schemas.openxmlformats.org/officeDocument/2006/relationships/hyperlink" Id="rId76" Target="https://doi.org/10.1038/30918" TargetMode="External" /><Relationship Type="http://schemas.openxmlformats.org/officeDocument/2006/relationships/hyperlink" Id="rId74" Target="https://doi.org/10.1038/35012234" TargetMode="External" /><Relationship Type="http://schemas.openxmlformats.org/officeDocument/2006/relationships/hyperlink" Id="rId78" Target="https://doi.org/10.1073/pnas.0603844103" TargetMode="External" /><Relationship Type="http://schemas.openxmlformats.org/officeDocument/2006/relationships/hyperlink" Id="rId60" Target="https://doi.org/10.1073/pnas.1014353108" TargetMode="External" /><Relationship Type="http://schemas.openxmlformats.org/officeDocument/2006/relationships/hyperlink" Id="rId88" Target="https://doi.org/10.1073/pnas.192407699" TargetMode="External" /><Relationship Type="http://schemas.openxmlformats.org/officeDocument/2006/relationships/hyperlink" Id="rId68" Target="https://doi.org/10.1086/381964" TargetMode="External" /><Relationship Type="http://schemas.openxmlformats.org/officeDocument/2006/relationships/hyperlink" Id="rId84" Target="https://doi.org/10.1098/rspb.2007.0571" TargetMode="External" /><Relationship Type="http://schemas.openxmlformats.org/officeDocument/2006/relationships/hyperlink" Id="rId82" Target="https://doi.org/10.1111/oik.01588" TargetMode="External" /><Relationship Type="http://schemas.openxmlformats.org/officeDocument/2006/relationships/hyperlink" Id="rId90" Target="https://doi.org/10.1126/science.1068326" TargetMode="External" /><Relationship Type="http://schemas.openxmlformats.org/officeDocument/2006/relationships/hyperlink" Id="rId86" Target="https://doi.org/10.1126/science.298.5594.824" TargetMode="External" /><Relationship Type="http://schemas.openxmlformats.org/officeDocument/2006/relationships/hyperlink" Id="rId66" Target="https://doi.org/10.1890/07-0978.1" TargetMode="External" /><Relationship Type="http://schemas.openxmlformats.org/officeDocument/2006/relationships/hyperlink" Id="rId72" Target="https://doi.org/10.1890/07-1419.1" TargetMode="External" /><Relationship Type="http://schemas.openxmlformats.org/officeDocument/2006/relationships/hyperlink" Id="rId70" Target="https://doi.org/10.2307/3546748" TargetMode="External" /><Relationship Type="http://schemas.openxmlformats.org/officeDocument/2006/relationships/hyperlink" Id="rId80"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ecs2.1900" TargetMode="External" /><Relationship Type="http://schemas.openxmlformats.org/officeDocument/2006/relationships/hyperlink" Id="rId92" Target="https://doi.org/10.1016/S0097-8485(01)00073-0" TargetMode="External" /><Relationship Type="http://schemas.openxmlformats.org/officeDocument/2006/relationships/hyperlink" Id="rId62" Target="https://doi.org/10.1016/j.tree.2012.08.005" TargetMode="External" /><Relationship Type="http://schemas.openxmlformats.org/officeDocument/2006/relationships/hyperlink" Id="rId76" Target="https://doi.org/10.1038/30918" TargetMode="External" /><Relationship Type="http://schemas.openxmlformats.org/officeDocument/2006/relationships/hyperlink" Id="rId74" Target="https://doi.org/10.1038/35012234" TargetMode="External" /><Relationship Type="http://schemas.openxmlformats.org/officeDocument/2006/relationships/hyperlink" Id="rId78" Target="https://doi.org/10.1073/pnas.0603844103" TargetMode="External" /><Relationship Type="http://schemas.openxmlformats.org/officeDocument/2006/relationships/hyperlink" Id="rId60" Target="https://doi.org/10.1073/pnas.1014353108" TargetMode="External" /><Relationship Type="http://schemas.openxmlformats.org/officeDocument/2006/relationships/hyperlink" Id="rId88" Target="https://doi.org/10.1073/pnas.192407699" TargetMode="External" /><Relationship Type="http://schemas.openxmlformats.org/officeDocument/2006/relationships/hyperlink" Id="rId68" Target="https://doi.org/10.1086/381964" TargetMode="External" /><Relationship Type="http://schemas.openxmlformats.org/officeDocument/2006/relationships/hyperlink" Id="rId84" Target="https://doi.org/10.1098/rspb.2007.0571" TargetMode="External" /><Relationship Type="http://schemas.openxmlformats.org/officeDocument/2006/relationships/hyperlink" Id="rId82" Target="https://doi.org/10.1111/oik.01588" TargetMode="External" /><Relationship Type="http://schemas.openxmlformats.org/officeDocument/2006/relationships/hyperlink" Id="rId90" Target="https://doi.org/10.1126/science.1068326" TargetMode="External" /><Relationship Type="http://schemas.openxmlformats.org/officeDocument/2006/relationships/hyperlink" Id="rId86" Target="https://doi.org/10.1126/science.298.5594.824" TargetMode="External" /><Relationship Type="http://schemas.openxmlformats.org/officeDocument/2006/relationships/hyperlink" Id="rId66" Target="https://doi.org/10.1890/07-0978.1" TargetMode="External" /><Relationship Type="http://schemas.openxmlformats.org/officeDocument/2006/relationships/hyperlink" Id="rId72" Target="https://doi.org/10.1890/07-1419.1" TargetMode="External" /><Relationship Type="http://schemas.openxmlformats.org/officeDocument/2006/relationships/hyperlink" Id="rId70" Target="https://doi.org/10.2307/3546748" TargetMode="External" /><Relationship Type="http://schemas.openxmlformats.org/officeDocument/2006/relationships/hyperlink" Id="rId80"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2026-03-04T04:17:54Z</dcterms:created>
  <dcterms:modified xsi:type="dcterms:W3CDTF">2026-03-04T04:17:54Z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