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2026-03-10</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 [Pimm 1984;</w:t>
      </w:r>
      <w:r>
        <w:t xml:space="preserve"> </w:t>
      </w:r>
      <w:r>
        <w:t xml:space="preserve">[3]</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[4]</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[5]</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[4]</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[6]</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[7]</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[9]</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[10]</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[6]</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[6]</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[11]</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[12]</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[13]</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[14]</w:t>
                  </w:r>
                  <w:r>
                    <w:t xml:space="preserve"> </w:t>
                  </w:r>
                  <w:r>
                    <w:t xml:space="preserve">[15]</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[14]</w:t>
                  </w:r>
                  <w:r>
                    <w:t xml:space="preserve"> </w:t>
                  </w:r>
                  <w:r>
                    <w:t xml:space="preserve">[15]</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[14]</w:t>
                  </w:r>
                  <w:r>
                    <w:t xml:space="preserve"> </w:t>
                  </w:r>
                  <w:r>
                    <w:t xml:space="preserve">[15]</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[14]</w:t>
                  </w:r>
                  <w:r>
                    <w:t xml:space="preserve"> </w:t>
                  </w:r>
                  <w:r>
                    <w:t xml:space="preserve">[15]</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diameter, motif frequencies (all),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1336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788727"/>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4513384"/>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alternative structural representations across stability components. Bars show cross-validated variance explained (R²) for each stability component (facets) under three representations of network structure: cluster-level descriptors, dominant structural metrics, and principal component scores. Bar height represents the total variance explained by each representation, while coloured segments indicate the proportional contribution of structural modules to that predictive signal. This partitioning highlights how different domains of network architecture contribute to explaining variation in stability across representations. B: Regularisation structure across stability components and structural representations. Bars show the mean elastic-net mixing parameter (α) across repeated cross-validation folds. Values near zero indicate ridge-like models where predictive signal is distributed across many correlated structural predictors, whereas values near one indicate lasso-like models where predictive power is concentrated in a small number of predictors. Together, panels illustrate how both the explanatory strength and structural concentration of stability predictors depend on how network structure is represented.</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733799"/>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2909454"/>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0"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ad7d45b1333a2fd236e1c6c9a9acd7bd855f2b7"/>
    <w:p>
      <w:pPr>
        <w:pStyle w:val="Heading2"/>
      </w:pPr>
      <w:r>
        <w:t xml:space="preserve">4.2 Reinterpreting the structure–stability debate</w:t>
      </w:r>
    </w:p>
    <w:p>
      <w:pPr>
        <w:pStyle w:val="BlockText"/>
      </w:pPr>
      <w:r>
        <w:t xml:space="preserve">e.g., May 1972 vs. McCann 2000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7"/>
    <w:bookmarkStart w:id="78"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8"/>
    <w:bookmarkStart w:id="79"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9"/>
    <w:bookmarkEnd w:id="80"/>
    <w:bookmarkStart w:id="81"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1"/>
    <w:bookmarkStart w:id="113" w:name="references"/>
    <w:p>
      <w:pPr>
        <w:pStyle w:val="Heading1"/>
      </w:pPr>
      <w:r>
        <w:t xml:space="preserve">References</w:t>
      </w:r>
    </w:p>
    <w:bookmarkStart w:id="112" w:name="refs"/>
    <w:bookmarkStart w:id="83"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2">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3"/>
    <w:bookmarkStart w:id="85"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5"/>
    <w:bookmarkStart w:id="87" w:name="ref-ivesStabilityDiversityEcosystems2007"/>
    <w:p>
      <w:pPr>
        <w:pStyle w:val="Bibliography"/>
      </w:pPr>
      <w:r>
        <w:t xml:space="preserve">3.</w:t>
      </w:r>
      <w:r>
        <w:t xml:space="preserve"> </w:t>
      </w:r>
      <w:r>
        <w:t xml:space="preserve">	</w:t>
      </w:r>
      <w:r>
        <w:t xml:space="preserve">Ives, A.R. and Carpenter, S.R. (2007)</w:t>
      </w:r>
      <w:r>
        <w:t xml:space="preserve"> </w:t>
      </w:r>
      <w:hyperlink r:id="rId86">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87"/>
    <w:bookmarkStart w:id="89" w:name="ref-thompsonFoodWebsReconciling2012"/>
    <w:p>
      <w:pPr>
        <w:pStyle w:val="Bibliography"/>
      </w:pPr>
      <w:r>
        <w:t xml:space="preserve">4.</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88">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89"/>
    <w:bookmarkStart w:id="91" w:name="ref-allesinaStabilityCriteriaComplex2012"/>
    <w:p>
      <w:pPr>
        <w:pStyle w:val="Bibliography"/>
      </w:pPr>
      <w:r>
        <w:t xml:space="preserve">5.</w:t>
      </w:r>
      <w:r>
        <w:t xml:space="preserve"> </w:t>
      </w:r>
      <w:r>
        <w:t xml:space="preserve">	</w:t>
      </w:r>
      <w:r>
        <w:t xml:space="preserve">Allesina, S. and Tang, S. (2012)</w:t>
      </w:r>
      <w:r>
        <w:t xml:space="preserve"> </w:t>
      </w:r>
      <w:hyperlink r:id="rId90">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1"/>
    <w:bookmarkStart w:id="93" w:name="ref-williamsLimitsTrophicLevels2004"/>
    <w:p>
      <w:pPr>
        <w:pStyle w:val="Bibliography"/>
      </w:pPr>
      <w:r>
        <w:t xml:space="preserve">6.</w:t>
      </w:r>
      <w:r>
        <w:t xml:space="preserve"> </w:t>
      </w:r>
      <w:r>
        <w:t xml:space="preserve">	</w:t>
      </w:r>
      <w:r>
        <w:t xml:space="preserve">Williams, R.J. and Martinez, N.D. (2004)</w:t>
      </w:r>
      <w:r>
        <w:t xml:space="preserve"> </w:t>
      </w:r>
      <w:hyperlink r:id="rId92">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93"/>
    <w:bookmarkStart w:id="95" w:name="X781f7e482417d8f33d808967da8cf24a047c245"/>
    <w:p>
      <w:pPr>
        <w:pStyle w:val="Bibliography"/>
      </w:pPr>
      <w:r>
        <w:t xml:space="preserve">7.</w:t>
      </w:r>
      <w:r>
        <w:t xml:space="preserve"> </w:t>
      </w:r>
      <w:r>
        <w:t xml:space="preserve">	</w:t>
      </w:r>
      <w:r>
        <w:t xml:space="preserve">Yodzis, P. and Winemiller, K.O. (1999)</w:t>
      </w:r>
      <w:r>
        <w:t xml:space="preserve"> </w:t>
      </w:r>
      <w:hyperlink r:id="rId94">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95"/>
    <w:bookmarkStart w:id="97" w:name="ref-estradaUsingNetworkCentrality2008"/>
    <w:p>
      <w:pPr>
        <w:pStyle w:val="Bibliography"/>
      </w:pPr>
      <w:r>
        <w:t xml:space="preserve">8.</w:t>
      </w:r>
      <w:r>
        <w:t xml:space="preserve"> </w:t>
      </w:r>
      <w:r>
        <w:t xml:space="preserve">	</w:t>
      </w:r>
      <w:r>
        <w:t xml:space="preserve">Estrada, E. and Bodin, Ö. (2008)</w:t>
      </w:r>
      <w:r>
        <w:t xml:space="preserve"> </w:t>
      </w:r>
      <w:hyperlink r:id="rId96">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97"/>
    <w:bookmarkStart w:id="99" w:name="ref-mccannDiversityStabilityDebate2000"/>
    <w:p>
      <w:pPr>
        <w:pStyle w:val="Bibliography"/>
      </w:pPr>
      <w:r>
        <w:t xml:space="preserve">9.</w:t>
      </w:r>
      <w:r>
        <w:t xml:space="preserve"> </w:t>
      </w:r>
      <w:r>
        <w:t xml:space="preserve">	</w:t>
      </w:r>
      <w:r>
        <w:t xml:space="preserve">McCann, K.S. (2000)</w:t>
      </w:r>
      <w:r>
        <w:t xml:space="preserve"> </w:t>
      </w:r>
      <w:hyperlink r:id="rId98">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9"/>
    <w:bookmarkStart w:id="101" w:name="X5f45a7a099d08070703fc184810d23dd2e88abd"/>
    <w:p>
      <w:pPr>
        <w:pStyle w:val="Bibliography"/>
      </w:pPr>
      <w:r>
        <w:t xml:space="preserve">10.</w:t>
      </w:r>
      <w:r>
        <w:t xml:space="preserve"> </w:t>
      </w:r>
      <w:r>
        <w:t xml:space="preserve">	</w:t>
      </w:r>
      <w:r>
        <w:t xml:space="preserve">Watts, D.J. and Strogatz, S.H. (1998)</w:t>
      </w:r>
      <w:r>
        <w:t xml:space="preserve"> </w:t>
      </w:r>
      <w:hyperlink r:id="rId100">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01"/>
    <w:bookmarkStart w:id="103" w:name="ref-stoufferRobustMeasureFood2006a"/>
    <w:p>
      <w:pPr>
        <w:pStyle w:val="Bibliography"/>
      </w:pPr>
      <w:r>
        <w:t xml:space="preserve">11.</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102">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103"/>
    <w:bookmarkStart w:id="105" w:name="ref-strydomSVDEntropyReveals2021"/>
    <w:p>
      <w:pPr>
        <w:pStyle w:val="Bibliography"/>
      </w:pPr>
      <w:r>
        <w:t xml:space="preserve">12.</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04">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05"/>
    <w:bookmarkStart w:id="107" w:name="ref-jonssonReliabilityR50Measure2015"/>
    <w:p>
      <w:pPr>
        <w:pStyle w:val="Bibliography"/>
      </w:pPr>
      <w:r>
        <w:t xml:space="preserve">13.</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06">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07"/>
    <w:bookmarkStart w:id="109" w:name="ref-stoufferEvidenceExistenceRobust2007"/>
    <w:p>
      <w:pPr>
        <w:pStyle w:val="Bibliography"/>
      </w:pPr>
      <w:r>
        <w:t xml:space="preserve">14.</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0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09"/>
    <w:bookmarkStart w:id="111" w:name="ref-miloNetworkMotifsSimple2002"/>
    <w:p>
      <w:pPr>
        <w:pStyle w:val="Bibliography"/>
      </w:pPr>
      <w:r>
        <w:t xml:space="preserve">15.</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10">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2026-03-10T16:30:32Z</dcterms:created>
  <dcterms:modified xsi:type="dcterms:W3CDTF">2026-03-10T16:30:32Z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