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5.png" ContentType="image/png"/>
  <Override PartName="/word/media/rId40.png" ContentType="image/png"/>
  <Override PartName="/word/media/rId36.png" ContentType="image/png"/>
  <Override PartName="/word/media/rId28.png" ContentType="image/png"/>
  <Override PartName="/word/media/rId69.png" ContentType="image/png"/>
  <Override PartName="/word/media/rId57.png" ContentType="image/png"/>
  <Override PartName="/word/media/rId50.png" ContentType="image/png"/>
  <Override PartName="/word/media/rId61.png" ContentType="image/png"/>
  <Override PartName="/word/media/rId6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2026-03-16</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[1,2]</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Ecological theory has long sought general principles linking the architecture of interaction networks to ecosystem stability. Early theoretical work framed this relationship in terms of system complexity, most famously through the analysis of random community matrices by Robert May, who showed that increasing species richness, interaction density, and interaction strength variance should reduce local dynamical stability in large ecological systems</w:t>
      </w:r>
      <w:r>
        <w:t xml:space="preserve"> </w:t>
      </w:r>
      <w:r>
        <w:t xml:space="preserve">[3,4]</w:t>
      </w:r>
      <w:r>
        <w:t xml:space="preserve">. Subsequent work refined this prediction by demonstrating that specific forms of network organisation such as interaction structure, trophic hierarchy, and compartmentalisation can substantially alter stability outcomes</w:t>
      </w:r>
      <w:r>
        <w:t xml:space="preserve"> </w:t>
      </w:r>
      <w:r>
        <w:t xml:space="preserve">[5–7]</w:t>
      </w:r>
      <w:r>
        <w:t xml:space="preserve">. More recently, structural theories such as trophic coherence have proposed that food webs occupy constrained regions of structural space in which particular architectural features strongly influence system stability</w:t>
      </w:r>
      <w:r>
        <w:t xml:space="preserve"> </w:t>
      </w:r>
      <w:r>
        <w:t xml:space="preserve">[8]</w:t>
      </w:r>
      <w:r>
        <w:t xml:space="preserve">. At the same time, ecological stability itself is now widely recognised as a multidimensional concept encompassing distinct dynamical properties such as persistence, resistance to disturbance, and recovery dynamics</w:t>
      </w:r>
      <w:r>
        <w:t xml:space="preserve"> </w:t>
      </w:r>
      <w:r>
        <w:t xml:space="preserve">[9–11]</w:t>
      </w:r>
      <w:r>
        <w:t xml:space="preserve">. Together these developments suggest that the relationship between network structure and ecological stability may be more complex than originally assumed, specifically that both structure and stability are multidimensional properties of ecological systems. If so, apparent inconsistencies in the structure–stability literature may arise not because theoretical predictions are incorrect, but because different studies measure different aspects of network architecture and different components of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w:t>
      </w:r>
      <w:r>
        <w:t xml:space="preserve"> </w:t>
      </w:r>
      <w:r>
        <w:t xml:space="preserve">[10,12]</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[13]</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[6]</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[2]</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characterised using a suite of XX structural metrics (see</w:t>
      </w:r>
      <w:r>
        <w:t xml:space="preserve"> </w:t>
      </w:r>
      <w:hyperlink w:anchor="tbl-properties">
        <w:r>
          <w:rPr>
            <w:rStyle w:val="Hyperlink"/>
          </w:rPr>
          <w:t xml:space="preserve">Table 1</w:t>
        </w:r>
      </w:hyperlink>
      <w:r>
        <w:t xml:space="preserve">).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[1]</w:t>
            </w:r>
            <w:r>
              <w:t xml:space="preserve"> </w:t>
            </w:r>
            <w:r>
              <w:t xml:space="preserve">paper as well as including those that have been identified by</w:t>
            </w:r>
            <w:r>
              <w:t xml:space="preserve"> </w:t>
            </w:r>
            <w:r>
              <w:t xml:space="preserve">[13]</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[14]</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[15]</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[16]</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[5]</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[17]</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[14]</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[14]</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w:t>
                  </w:r>
                  <w:r>
                    <w:rPr>
                      <w:b/>
                      <w:bCs/>
                    </w:rPr>
                    <w:t xml:space="preserve">stoufferRobustMeasureFood2006a?</w:t>
                  </w:r>
                  <w:r>
                    <w:t xml:space="preserve">]</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[18]</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[19]</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[20]</w:t>
                  </w:r>
                  <w:r>
                    <w:t xml:space="preserve"> </w:t>
                  </w:r>
                  <w:r>
                    <w:t xml:space="preserve">[21]</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[20]</w:t>
                  </w:r>
                  <w:r>
                    <w:t xml:space="preserve"> </w:t>
                  </w:r>
                  <w:r>
                    <w:t xml:space="preserve">[21]</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[20]</w:t>
                  </w:r>
                  <w:r>
                    <w:t xml:space="preserve"> </w:t>
                  </w:r>
                  <w:r>
                    <w:t xml:space="preserve">[21]</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[20]</w:t>
                  </w:r>
                  <w:r>
                    <w:t xml:space="preserve"> </w:t>
                  </w:r>
                  <w:r>
                    <w:t xml:space="preserve">[21]</w:t>
                  </w:r>
                </w:p>
              </w:tc>
            </w:tr>
          </w:tbl>
          <w:bookmarkEnd w:id="10"/>
          <w:p/>
        </w:tc>
      </w:tr>
    </w:tbl>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organisation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XX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w:t>
      </w:r>
      <m:oMath>
        <m:r>
          <m:t>k</m:t>
        </m:r>
        <m:r>
          <m:rPr>
            <m:sty m:val="p"/>
          </m:rPr>
          <m:t>=</m:t>
        </m:r>
        <m:r>
          <m:t>2</m:t>
        </m:r>
        <m:r>
          <m:rPr>
            <m:sty m:val="p"/>
          </m:rPr>
          <m:t>–</m:t>
        </m:r>
        <m:r>
          <m:t>10</m:t>
        </m:r>
      </m:oMath>
      <w:r>
        <w:t xml:space="preserve">)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organise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standardised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w:t>
      </w:r>
      <w:r>
        <w:t xml:space="preserve"> </w:t>
      </w:r>
      <m:oMath>
        <m:r>
          <m:t>P</m:t>
        </m:r>
        <m:sSub>
          <m:e>
            <m:r>
              <m:t>C</m:t>
            </m:r>
          </m:e>
          <m:sub>
            <m:r>
              <m:t>k</m:t>
            </m:r>
          </m:sub>
        </m:sSub>
      </m:oMath>
      <w:r>
        <w:t xml:space="preserve"> </w:t>
      </w:r>
      <w:r>
        <w:t xml:space="preserve">and</w:t>
      </w:r>
      <w:r>
        <w:t xml:space="preserve"> </w:t>
      </w:r>
      <m:oMath>
        <m:sSub>
          <m:e>
            <m:r>
              <m:t>A</m:t>
            </m:r>
          </m:e>
          <m:sub>
            <m:r>
              <m:t>m</m:t>
            </m:r>
            <m:r>
              <m:t>k</m:t>
            </m:r>
          </m:sub>
        </m:sSub>
      </m:oMath>
      <w:r>
        <w:t xml:space="preserve"> </w:t>
      </w:r>
      <w:r>
        <w:t xml:space="preserve">represents the fraction of variance in</w:t>
      </w:r>
      <w:r>
        <w:t xml:space="preserve"> </w:t>
      </w:r>
      <m:oMath>
        <m:r>
          <m:t>P</m:t>
        </m:r>
        <m:sSub>
          <m:e>
            <m:r>
              <m:t>C</m:t>
            </m:r>
          </m:e>
          <m:sub>
            <m:r>
              <m:t>k</m:t>
            </m:r>
          </m:sub>
        </m:sSub>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w:r>
        <w:t xml:space="preserve">where:</w:t>
      </w:r>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w:r>
        <w:t xml:space="preserve">and:</w:t>
      </w:r>
    </w:p>
    <w:p>
      <w:pPr>
        <w:pStyle w:val="BodyText"/>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9"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centralisation,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w:t>
      </w:r>
      <w:r>
        <w:t xml:space="preserve"> </w:t>
      </w:r>
      <m:oMath>
        <m:r>
          <m:t>1</m:t>
        </m:r>
        <m:r>
          <m:rPr>
            <m:sty m:val="p"/>
          </m:rPr>
          <m:t>−</m:t>
        </m:r>
        <m:r>
          <m:rPr>
            <m:sty m:val="p"/>
          </m:rPr>
          <m:t>∣</m:t>
        </m:r>
        <m:r>
          <m:t>r</m:t>
        </m:r>
        <m:r>
          <m:rPr>
            <m:sty m:val="p"/>
          </m:rPr>
          <m:t>∣</m:t>
        </m:r>
      </m:oMath>
      <w:r>
        <w:t xml:space="preserve">.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organisation.</w:t>
      </w:r>
    </w:p>
    <w:bookmarkEnd w:id="16"/>
    <w:bookmarkStart w:id="18"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regularised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17" w:name="model-evaluation"/>
    <w:p>
      <w:pPr>
        <w:pStyle w:val="Heading4"/>
      </w:pPr>
      <w:r>
        <w:t xml:space="preserve">2.4.4.1 Model Evaluation</w:t>
      </w:r>
    </w:p>
    <w:p>
      <w:pPr>
        <w:pStyle w:val="FirstParagraph"/>
      </w:pPr>
      <w:r>
        <w:t xml:space="preserve">Predictive performance was assessed using repeated v-fold cross-validation (10 folds x 10 repeats). Within each training partition, models were fit across a grid of α values (0–1 in increments of 0.25), and the optimal penalty strength (λ) was selected via internal cross-validation. Performance was quantified as cross-validated</w:t>
      </w:r>
      <w:r>
        <w:t xml:space="preserve"> </w:t>
      </w:r>
      <m:oMath>
        <m:sSup>
          <m:e>
            <m:r>
              <m:t>R</m:t>
            </m:r>
          </m:e>
          <m:sup>
            <m:r>
              <m:t>2</m:t>
            </m:r>
          </m:sup>
        </m:sSup>
      </m:oMath>
      <w:r>
        <w:t xml:space="preserve"> </w:t>
      </w:r>
      <w:r>
        <w:t xml:space="preserve">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17"/>
    <w:bookmarkEnd w:id="18"/>
    <w:bookmarkEnd w:id="19"/>
    <w:bookmarkEnd w:id="20"/>
    <w:bookmarkStart w:id="75" w:name="results"/>
    <w:p>
      <w:pPr>
        <w:pStyle w:val="Heading1"/>
      </w:pPr>
      <w:r>
        <w:t xml:space="preserve">3. Results</w:t>
      </w:r>
    </w:p>
    <w:bookmarkStart w:id="25"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720340"/>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720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5"/>
    <w:bookmarkStart w:id="27"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6"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 Complexity</w:t>
                  </w:r>
                </w:p>
              </w:tc>
              <w:tc>
                <w:tcPr/>
                <w:p>
                  <w:pPr>
                    <w:pStyle w:val="Compact"/>
                    <w:jc w:val="center"/>
                  </w:pPr>
                  <w:r>
                    <w:t xml:space="preserve">richness, links, diameter, motif frequencies (all),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6"/>
          <w:p/>
        </w:tc>
      </w:tr>
    </w:tbl>
    <w:bookmarkEnd w:id="27"/>
    <w:bookmarkStart w:id="44"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1" w:name="fig-pca"/>
          <w:p>
            <w:pPr>
              <w:pStyle w:val="Compact"/>
              <w:jc w:val="center"/>
            </w:pPr>
            <w:r>
              <w:drawing>
                <wp:inline>
                  <wp:extent cx="5334000" cy="3413760"/>
                  <wp:effectExtent b="0" l="0" r="0" t="0"/>
                  <wp:docPr descr="" title="" id="29" name="Picture"/>
                  <a:graphic>
                    <a:graphicData uri="http://schemas.openxmlformats.org/drawingml/2006/picture">
                      <pic:pic>
                        <pic:nvPicPr>
                          <pic:cNvPr descr="figures/pca_loadings.png" id="30" name="Picture"/>
                          <pic:cNvPicPr>
                            <a:picLocks noChangeArrowheads="1" noChangeAspect="1"/>
                          </pic:cNvPicPr>
                        </pic:nvPicPr>
                        <pic:blipFill>
                          <a:blip r:embed="rId28"/>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 w:name="fig-variance"/>
          <w:p>
            <w:pPr>
              <w:pStyle w:val="Compact"/>
              <w:jc w:val="center"/>
            </w:pPr>
            <w:r>
              <w:drawing>
                <wp:inline>
                  <wp:extent cx="5334000" cy="2095500"/>
                  <wp:effectExtent b="0" l="0" r="0" t="0"/>
                  <wp:docPr descr="" title="" id="33" name="Picture"/>
                  <a:graphic>
                    <a:graphicData uri="http://schemas.openxmlformats.org/drawingml/2006/picture">
                      <pic:pic>
                        <pic:nvPicPr>
                          <pic:cNvPr descr="figures/variance_explained.png" id="34" name="Picture"/>
                          <pic:cNvPicPr>
                            <a:picLocks noChangeArrowheads="1" noChangeAspect="1"/>
                          </pic:cNvPicPr>
                        </pic:nvPicPr>
                        <pic:blipFill>
                          <a:blip r:embed="rId32"/>
                          <a:stretch>
                            <a:fillRect/>
                          </a:stretch>
                        </pic:blipFill>
                        <pic:spPr bwMode="auto">
                          <a:xfrm>
                            <a:off x="0" y="0"/>
                            <a:ext cx="5334000" cy="2095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normalized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35"/>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9" w:name="fig-alignment_heatmap"/>
          <w:p>
            <w:pPr>
              <w:pStyle w:val="Compact"/>
              <w:jc w:val="center"/>
            </w:pPr>
            <w:r>
              <w:drawing>
                <wp:inline>
                  <wp:extent cx="5334000" cy="2667000"/>
                  <wp:effectExtent b="0" l="0" r="0" t="0"/>
                  <wp:docPr descr="" title="" id="37" name="Picture"/>
                  <a:graphic>
                    <a:graphicData uri="http://schemas.openxmlformats.org/drawingml/2006/picture">
                      <pic:pic>
                        <pic:nvPicPr>
                          <pic:cNvPr descr="figures/module_alignment_heatmap.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9"/>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5</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3" w:name="fig-alignment_signif"/>
          <w:p>
            <w:pPr>
              <w:pStyle w:val="Compact"/>
              <w:jc w:val="center"/>
            </w:pPr>
            <w:r>
              <w:drawing>
                <wp:inline>
                  <wp:extent cx="5334000" cy="2667000"/>
                  <wp:effectExtent b="0" l="0" r="0" t="0"/>
                  <wp:docPr descr="" title="" id="41" name="Picture"/>
                  <a:graphic>
                    <a:graphicData uri="http://schemas.openxmlformats.org/drawingml/2006/picture">
                      <pic:pic>
                        <pic:nvPicPr>
                          <pic:cNvPr descr="figures/heatmap_zscores.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3"/>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4"/>
    <w:bookmarkStart w:id="74" w:name="predictors-of-stability"/>
    <w:p>
      <w:pPr>
        <w:pStyle w:val="Heading2"/>
      </w:pPr>
      <w:r>
        <w:t xml:space="preserve">3.4 Predictors of stability</w:t>
      </w:r>
    </w:p>
    <w:bookmarkStart w:id="49"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132"/>
        <w:gridCol w:w="1624"/>
        <w:gridCol w:w="2030"/>
        <w:gridCol w:w="2132"/>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8" w:name="fig-dim_red"/>
          <w:p>
            <w:pPr>
              <w:pStyle w:val="Compact"/>
              <w:jc w:val="center"/>
            </w:pPr>
            <w:r>
              <w:drawing>
                <wp:inline>
                  <wp:extent cx="5334000" cy="6222999"/>
                  <wp:effectExtent b="0" l="0" r="0" t="0"/>
                  <wp:docPr descr="" title="" id="46" name="Picture"/>
                  <a:graphic>
                    <a:graphicData uri="http://schemas.openxmlformats.org/drawingml/2006/picture">
                      <pic:pic>
                        <pic:nvPicPr>
                          <pic:cNvPr descr="figures/fig_dimensional_reduction.png" id="47" name="Picture"/>
                          <pic:cNvPicPr>
                            <a:picLocks noChangeArrowheads="1" noChangeAspect="1"/>
                          </pic:cNvPicPr>
                        </pic:nvPicPr>
                        <pic:blipFill>
                          <a:blip r:embed="rId45"/>
                          <a:stretch>
                            <a:fillRect/>
                          </a:stretch>
                        </pic:blipFill>
                        <pic:spPr bwMode="auto">
                          <a:xfrm>
                            <a:off x="0" y="0"/>
                            <a:ext cx="5334000" cy="6222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8"/>
        </w:tc>
      </w:tr>
    </w:tbl>
    <w:bookmarkEnd w:id="49"/>
    <w:bookmarkStart w:id="56" w:name="Xc84dddb6d18a1e743db36dc7aa62f328aa8c858"/>
    <w:p>
      <w:pPr>
        <w:pStyle w:val="Heading3"/>
      </w:pPr>
      <w:r>
        <w:t xml:space="preserve">3.4.2 Predictive Performance Across Structural Representations</w:t>
      </w:r>
    </w:p>
    <w:bookmarkStart w:id="54"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3" w:name="fig-var_pred"/>
          <w:p>
            <w:pPr>
              <w:pStyle w:val="Compact"/>
              <w:jc w:val="center"/>
            </w:pPr>
            <w:r>
              <w:drawing>
                <wp:inline>
                  <wp:extent cx="5334000" cy="4513384"/>
                  <wp:effectExtent b="0" l="0" r="0" t="0"/>
                  <wp:docPr descr="" title="" id="51" name="Picture"/>
                  <a:graphic>
                    <a:graphicData uri="http://schemas.openxmlformats.org/drawingml/2006/picture">
                      <pic:pic>
                        <pic:nvPicPr>
                          <pic:cNvPr descr="figures/struct_stability_summ.png" id="52" name="Picture"/>
                          <pic:cNvPicPr>
                            <a:picLocks noChangeArrowheads="1" noChangeAspect="1"/>
                          </pic:cNvPicPr>
                        </pic:nvPicPr>
                        <pic:blipFill>
                          <a:blip r:embed="rId50"/>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Predictive performance of alternative structural representations across stability components. Bars show cross-validated variance explained (R²) for each stability component (facets) under three representations of network structure: cluster-level descriptors, dominant structural metrics, and principal component scores. Bar height represents the total variance explained by each representation, while coloured segments indicate the proportional contribution of structural modules to that predictive signal. This partitioning highlights how different domains of network architecture contribute to explaining variation in stability across representations. B: Regularisation structure across stability components and structural representations. Bars show the mean elastic-net mixing parameter (α) across repeated cross-validation folds. Values near zero indicate ridge-like models where predictive signal is distributed across many correlated structural predictors, whereas values near one indicate lasso-like models where predictive power is concentrated in a small number of predictors. Together, panels illustrate how both the explanatory strength and structural concentration of stability predictors depend on how network structure is represented.</w:t>
            </w:r>
          </w:p>
          <w:bookmarkEnd w:id="53"/>
        </w:tc>
      </w:tr>
    </w:tbl>
    <w:bookmarkEnd w:id="54"/>
    <w:bookmarkStart w:id="55"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5"/>
    <w:bookmarkEnd w:id="56"/>
    <w:bookmarkStart w:id="73"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60" w:name="fig-stab_corr"/>
          <w:p>
            <w:pPr>
              <w:pStyle w:val="Compact"/>
              <w:jc w:val="center"/>
            </w:pPr>
            <w:r>
              <w:drawing>
                <wp:inline>
                  <wp:extent cx="5334000" cy="4267200"/>
                  <wp:effectExtent b="0" l="0" r="0" t="0"/>
                  <wp:docPr descr="" title="" id="58" name="Picture"/>
                  <a:graphic>
                    <a:graphicData uri="http://schemas.openxmlformats.org/drawingml/2006/picture">
                      <pic:pic>
                        <pic:nvPicPr>
                          <pic:cNvPr descr="figures/struct_stability_coeff.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stab_var_metric"/>
          <w:p>
            <w:pPr>
              <w:pStyle w:val="Compact"/>
              <w:jc w:val="center"/>
            </w:pPr>
            <w:r>
              <w:drawing>
                <wp:inline>
                  <wp:extent cx="5334000" cy="3733799"/>
                  <wp:effectExtent b="0" l="0" r="0" t="0"/>
                  <wp:docPr descr="" title="" id="62" name="Picture"/>
                  <a:graphic>
                    <a:graphicData uri="http://schemas.openxmlformats.org/drawingml/2006/picture">
                      <pic:pic>
                        <pic:nvPicPr>
                          <pic:cNvPr descr="figures/struct_stability_variance.png" id="63" name="Picture"/>
                          <pic:cNvPicPr>
                            <a:picLocks noChangeArrowheads="1" noChangeAspect="1"/>
                          </pic:cNvPicPr>
                        </pic:nvPicPr>
                        <pic:blipFill>
                          <a:blip r:embed="rId6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Contribution of individual structural descriptors to the variance explained in ecological stability. Points and horizontal segments show the proportion of variance in each stability metric (robustness, return rate ρ, and dynamical complexity) explained by each predictor, estimated from standardized elastic-net coefficients. Panels are organized by structural representation (rows) and stability metric (columns). Colours indicate the structural module or domain to which each metric belongs; metrics not assigned to a module (“PCA Axis”) are shown in grey-green. This visualization highlights which individual network descriptors most strongly influence model predictions, while also revealing variation in importance across representations and stability components.</w:t>
            </w:r>
          </w:p>
          <w:bookmarkEnd w:id="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stab_var_module"/>
          <w:p>
            <w:pPr>
              <w:pStyle w:val="Compact"/>
              <w:jc w:val="center"/>
            </w:pPr>
            <w:r>
              <w:drawing>
                <wp:inline>
                  <wp:extent cx="5334000" cy="2051538"/>
                  <wp:effectExtent b="0" l="0" r="0" t="0"/>
                  <wp:docPr descr="" title="" id="66" name="Picture"/>
                  <a:graphic>
                    <a:graphicData uri="http://schemas.openxmlformats.org/drawingml/2006/picture">
                      <pic:pic>
                        <pic:nvPicPr>
                          <pic:cNvPr descr="figures/struct_stability_variance_module.png" id="67" name="Picture"/>
                          <pic:cNvPicPr>
                            <a:picLocks noChangeArrowheads="1" noChangeAspect="1"/>
                          </pic:cNvPicPr>
                        </pic:nvPicPr>
                        <pic:blipFill>
                          <a:blip r:embed="rId65"/>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Contributions of structural modules to the variance explained in ecological stability. Bars show the proportion of variance in each stability metric explained by elastic-net models, aggregated across structural domains (modules) or PCA axes. Total bar height reflects the overall model predictive performance (R2), while coloured segments represent the relative contribution of each module, estimated from the sum of squared standardized coefficients. Facets separate stability metrics, and bar groups correspond to alternative structural representations (cluster medoids, dominant metrics, PCA scores). This representation summarizes how stability is shaped by collective architectural dimensions, demonstrating which modules—such as macro-architectural complexity, trophic integration, energy transport, and trophic asymmetry—drive variation in system-level stability.</w:t>
            </w:r>
          </w:p>
          <w:bookmarkEnd w:id="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fig-pca_struct_stability.png"/>
          <w:p>
            <w:pPr>
              <w:pStyle w:val="Compact"/>
              <w:jc w:val="center"/>
            </w:pPr>
            <w:r>
              <w:drawing>
                <wp:inline>
                  <wp:extent cx="5334000" cy="2909454"/>
                  <wp:effectExtent b="0" l="0" r="0" t="0"/>
                  <wp:docPr descr="" title="" id="70" name="Picture"/>
                  <a:graphic>
                    <a:graphicData uri="http://schemas.openxmlformats.org/drawingml/2006/picture">
                      <pic:pic>
                        <pic:nvPicPr>
                          <pic:cNvPr descr="figures/pca_struct_stability.png" id="71" name="Picture"/>
                          <pic:cNvPicPr>
                            <a:picLocks noChangeArrowheads="1" noChangeAspect="1"/>
                          </pic:cNvPicPr>
                        </pic:nvPicPr>
                        <pic:blipFill>
                          <a:blip r:embed="rId69"/>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Food web structural variation and stability landscape. Points represent individual networks projected into structural principal component space, with the x- and y-axes corresponding to PC1 and PC2 of the network-level metrics. Point size (scaled independently within each stability metric) reflects the relative magnitude of the associated stability measure (robustness, ρ, or complexity) across networks. Arrows indicate the contribution of structural modules (e.g., macro-architectural complexity, trophic integration, energy transport, trophic asymmetry, control heterogeneity, centralisation, and functional redundancy) to the PCA axes, approximating the structural domains most associated with variation in network configuration. Facets separate stability metrics (rows) and structural representations (columns), highlighting how different network structures relate to each stability component. Arrow length is globally scaled for visibility, with module orientation showing the direction of increasing module values in PCA space.</w:t>
            </w:r>
          </w:p>
          <w:bookmarkEnd w:id="72"/>
        </w:tc>
      </w:tr>
    </w:tbl>
    <w:bookmarkEnd w:id="73"/>
    <w:bookmarkEnd w:id="74"/>
    <w:bookmarkEnd w:id="75"/>
    <w:bookmarkStart w:id="80" w:name="discussion"/>
    <w:p>
      <w:pPr>
        <w:pStyle w:val="Heading1"/>
      </w:pPr>
      <w:r>
        <w:t xml:space="preserve">4. Discussion</w:t>
      </w:r>
    </w:p>
    <w:bookmarkStart w:id="76"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omnivory has been argued to stabilise or destabilise communities, and measures of modularity, trophic organisation, or motif structure have each been proposed as key determinants of ecosystem dynamics.</w:t>
      </w:r>
    </w:p>
    <w:p>
      <w:pPr>
        <w:pStyle w:val="BodyText"/>
      </w:pPr>
      <w:r>
        <w:t xml:space="preserve">Our results suggest that much of this inconsistency may arise from a conceptual simplification: network structure is rarely a single property. Instead, food-web architecture appears to be organised along several coherent dimensions of variation. Structural metrics commonly used in ecological studies do not behave as independent descriptors, nor do they represent interchangeable proxies for a single structural attribute. Rather,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p>
      <w:pPr>
        <w:pStyle w:val="BodyText"/>
      </w:pPr>
      <w:r>
        <w:t xml:space="preserve">## Structural modules reveal dimensions of network architecture</w:t>
      </w:r>
    </w:p>
    <w:p>
      <w:pPr>
        <w:pStyle w:val="BodyText"/>
      </w:pPr>
      <w:r>
        <w:t xml:space="preserve">The clustering analysis revealed consistent groupings of metrics describing different aspects of food-web organisation. Some modules correspond to large-scale architectural expansion, integrating species richness, interaction density, motif frequencies, and global network properties. Others capture more specific aspects of trophic organisation, such as the degree of vertical integration among trophic levels or the geometry of energy-transfer pathways.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76"/>
    <w:bookmarkStart w:id="77" w:name="Xad7d45b1333a2fd236e1c6c9a9acd7bd855f2b7"/>
    <w:p>
      <w:pPr>
        <w:pStyle w:val="Heading2"/>
      </w:pPr>
      <w:r>
        <w:t xml:space="preserve">4.2 Reinterpreting the structure–stability debate</w:t>
      </w:r>
    </w:p>
    <w:p>
      <w:pPr>
        <w:pStyle w:val="BlockText"/>
      </w:pPr>
      <w:r>
        <w:t xml:space="preserve">e.g., May vs. McCann looks like a contradiction. However results suggest they were simply looking at different modules. May’s work focused on Return (spectral properties), while McCann focused on Persistence/Resistance (pathway dampening). By identifying these as independent axes in the PCA, we show that a network can be structurally complex (low return stability) but modularly dampened (high resistance).</w:t>
      </w:r>
    </w:p>
    <w:p>
      <w:pPr>
        <w:pStyle w:val="FirstParagraph"/>
      </w:pPr>
      <w:r>
        <w:t xml:space="preserve">The multidimensional nature of network structure has important implications for how stability relationships are interpreted. Much of the historical debate surrounding ecological stability has implicitly treated “structure” as a single explanatory variable. Studies typically select one or a small number of metrics and evaluate their relationship with a particular stability measure. However, if structural descriptors capture different architectural dimensions, then such analyses effectively examine different slices of structural space.</w:t>
      </w:r>
    </w:p>
    <w:p>
      <w:pPr>
        <w:pStyle w:val="BodyText"/>
      </w:pPr>
      <w:r>
        <w:t xml:space="preserve">Under this interpretation, apparently conflicting results across studies become less surprising. A study focusing on connectance may capture variation in trophic integration, while another emphasising motif frequencies may instead reflect changes in network expansion and pathway complexity. Each metric may relate to stability through different mechanisms, yet comparisons between them have often been framed as competing tests of the same hypothesis. Rather than asking which structural metric best predicts stability, it may therefore be more productive to ask which dimension of network architecture is relevant to a given stability mechanism. Stability itself is a multidimensional property, encompassing processes such as persistence, resistance to disturbance, and the reorganisation of interaction pathways following perturbation. Different structural domains may influence these processes through distinct ecological mechanisms. Our analysis does not attempt to resolve which particular metrics control specific stability outcomes. Instead, it highlights the need to reframe the problem: understanding ecological stability requires considering how multiple structural dimensions interact with different dynamical processes.</w:t>
      </w:r>
    </w:p>
    <w:bookmarkEnd w:id="77"/>
    <w:bookmarkStart w:id="78" w:name="X815e10819c719fd889b2df0b0165ed3bc35efe2"/>
    <w:p>
      <w:pPr>
        <w:pStyle w:val="Heading2"/>
      </w:pPr>
      <w:r>
        <w:t xml:space="preserve">4.3 Implications for the design of network analyses</w:t>
      </w:r>
    </w:p>
    <w:p>
      <w:pPr>
        <w:pStyle w:val="FirstParagraph"/>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78"/>
    <w:bookmarkStart w:id="79" w:name="X52687e34ca02f886d47f2b738d6800472257c16"/>
    <w:p>
      <w:pPr>
        <w:pStyle w:val="Heading2"/>
      </w:pPr>
      <w:r>
        <w:t xml:space="preserve">4.4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79"/>
    <w:bookmarkEnd w:id="80"/>
    <w:bookmarkStart w:id="81"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81"/>
    <w:bookmarkStart w:id="125" w:name="references"/>
    <w:p>
      <w:pPr>
        <w:pStyle w:val="Heading1"/>
      </w:pPr>
      <w:r>
        <w:t xml:space="preserve">References</w:t>
      </w:r>
    </w:p>
    <w:bookmarkStart w:id="124" w:name="refs"/>
    <w:bookmarkStart w:id="83" w:name="ref-vermaatMajorDimensionsFoodweb2009"/>
    <w:p>
      <w:pPr>
        <w:pStyle w:val="Bibliography"/>
      </w:pPr>
      <w:r>
        <w:t xml:space="preserve">1.</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82">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83"/>
    <w:bookmarkStart w:id="85" w:name="ref-lauEcologicalNetworkMetrics2017"/>
    <w:p>
      <w:pPr>
        <w:pStyle w:val="Bibliography"/>
      </w:pPr>
      <w:r>
        <w:t xml:space="preserve">2.</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84">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85"/>
    <w:bookmarkStart w:id="87" w:name="ref-mayWillLargeComplex1972"/>
    <w:p>
      <w:pPr>
        <w:pStyle w:val="Bibliography"/>
      </w:pPr>
      <w:r>
        <w:t xml:space="preserve">3.</w:t>
      </w:r>
      <w:r>
        <w:t xml:space="preserve"> </w:t>
      </w:r>
      <w:r>
        <w:t xml:space="preserve">	</w:t>
      </w:r>
      <w:r>
        <w:t xml:space="preserve">May, R.M. (1972)</w:t>
      </w:r>
      <w:r>
        <w:t xml:space="preserve"> </w:t>
      </w:r>
      <w:hyperlink r:id="rId86">
        <w:r>
          <w:rPr>
            <w:rStyle w:val="Hyperlink"/>
          </w:rPr>
          <w:t xml:space="preserve">Will a</w:t>
        </w:r>
        <w:r>
          <w:rPr>
            <w:rStyle w:val="Hyperlink"/>
          </w:rPr>
          <w:t xml:space="preserve"> </w:t>
        </w:r>
        <w:r>
          <w:rPr>
            <w:rStyle w:val="Hyperlink"/>
          </w:rPr>
          <w:t xml:space="preserve">Large Complex System</w:t>
        </w:r>
        <w:r>
          <w:rPr>
            <w:rStyle w:val="Hyperlink"/>
          </w:rPr>
          <w:t xml:space="preserve"> </w:t>
        </w:r>
        <w:r>
          <w:rPr>
            <w:rStyle w:val="Hyperlink"/>
          </w:rPr>
          <w:t xml:space="preserve">be</w:t>
        </w:r>
        <w:r>
          <w:rPr>
            <w:rStyle w:val="Hyperlink"/>
          </w:rPr>
          <w:t xml:space="preserve"> </w:t>
        </w:r>
        <w:r>
          <w:rPr>
            <w:rStyle w:val="Hyperlink"/>
          </w:rPr>
          <w:t xml:space="preserve">Stable</w:t>
        </w:r>
        <w:r>
          <w:rPr>
            <w:rStyle w:val="Hyperlink"/>
          </w:rPr>
          <w:t xml:space="preserve">?</w:t>
        </w:r>
      </w:hyperlink>
      <w:r>
        <w:t xml:space="preserve"> </w:t>
      </w:r>
      <w:r>
        <w:rPr>
          <w:i/>
          <w:iCs/>
        </w:rPr>
        <w:t xml:space="preserve">Nature</w:t>
      </w:r>
      <w:r>
        <w:t xml:space="preserve"> </w:t>
      </w:r>
      <w:r>
        <w:t xml:space="preserve">238, 413–414</w:t>
      </w:r>
    </w:p>
    <w:bookmarkEnd w:id="87"/>
    <w:bookmarkStart w:id="89" w:name="ref-mayStabilityComplexityModel1974"/>
    <w:p>
      <w:pPr>
        <w:pStyle w:val="Bibliography"/>
      </w:pPr>
      <w:r>
        <w:t xml:space="preserve">4.</w:t>
      </w:r>
      <w:r>
        <w:t xml:space="preserve"> </w:t>
      </w:r>
      <w:r>
        <w:t xml:space="preserve">	</w:t>
      </w:r>
      <w:r>
        <w:t xml:space="preserve">May, R.M. (1974)</w:t>
      </w:r>
      <w:r>
        <w:t xml:space="preserve"> </w:t>
      </w:r>
      <w:hyperlink r:id="rId88">
        <w:r>
          <w:rPr>
            <w:rStyle w:val="Hyperlink"/>
            <w:i/>
            <w:iCs/>
          </w:rPr>
          <w:t xml:space="preserve">Stability and</w:t>
        </w:r>
        <w:r>
          <w:rPr>
            <w:rStyle w:val="Hyperlink"/>
            <w:i/>
            <w:iCs/>
          </w:rPr>
          <w:t xml:space="preserve"> </w:t>
        </w:r>
        <w:r>
          <w:rPr>
            <w:rStyle w:val="Hyperlink"/>
            <w:i/>
            <w:iCs/>
          </w:rPr>
          <w:t xml:space="preserve">Complexity</w:t>
        </w:r>
        <w:r>
          <w:rPr>
            <w:rStyle w:val="Hyperlink"/>
            <w:i/>
            <w:iCs/>
          </w:rPr>
          <w:t xml:space="preserve"> </w:t>
        </w:r>
        <w:r>
          <w:rPr>
            <w:rStyle w:val="Hyperlink"/>
            <w:i/>
            <w:iCs/>
          </w:rPr>
          <w:t xml:space="preserve">in</w:t>
        </w:r>
        <w:r>
          <w:rPr>
            <w:rStyle w:val="Hyperlink"/>
            <w:i/>
            <w:iCs/>
          </w:rPr>
          <w:t xml:space="preserve"> </w:t>
        </w:r>
        <w:r>
          <w:rPr>
            <w:rStyle w:val="Hyperlink"/>
            <w:i/>
            <w:iCs/>
          </w:rPr>
          <w:t xml:space="preserve">Model Ecosystems</w:t>
        </w:r>
      </w:hyperlink>
      <w:r>
        <w:t xml:space="preserve">, 1, Princeton University Press</w:t>
      </w:r>
    </w:p>
    <w:bookmarkEnd w:id="89"/>
    <w:bookmarkStart w:id="91" w:name="ref-mccannDiversityStabilityDebate2000"/>
    <w:p>
      <w:pPr>
        <w:pStyle w:val="Bibliography"/>
      </w:pPr>
      <w:r>
        <w:t xml:space="preserve">5.</w:t>
      </w:r>
      <w:r>
        <w:t xml:space="preserve"> </w:t>
      </w:r>
      <w:r>
        <w:t xml:space="preserve">	</w:t>
      </w:r>
      <w:r>
        <w:t xml:space="preserve">McCann, K.S. (2000)</w:t>
      </w:r>
      <w:r>
        <w:t xml:space="preserve"> </w:t>
      </w:r>
      <w:hyperlink r:id="rId90">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91"/>
    <w:bookmarkStart w:id="93" w:name="ref-allesinaStabilityCriteriaComplex2012"/>
    <w:p>
      <w:pPr>
        <w:pStyle w:val="Bibliography"/>
      </w:pPr>
      <w:r>
        <w:t xml:space="preserve">6.</w:t>
      </w:r>
      <w:r>
        <w:t xml:space="preserve"> </w:t>
      </w:r>
      <w:r>
        <w:t xml:space="preserve">	</w:t>
      </w:r>
      <w:r>
        <w:t xml:space="preserve">Allesina, S. and Tang, S. (2012)</w:t>
      </w:r>
      <w:r>
        <w:t xml:space="preserve"> </w:t>
      </w:r>
      <w:hyperlink r:id="rId92">
        <w:r>
          <w:rPr>
            <w:rStyle w:val="Hyperlink"/>
          </w:rPr>
          <w:t xml:space="preserve">Stability criteria for complex ecosystems</w:t>
        </w:r>
      </w:hyperlink>
      <w:r>
        <w:t xml:space="preserve">.</w:t>
      </w:r>
      <w:r>
        <w:t xml:space="preserve"> </w:t>
      </w:r>
      <w:r>
        <w:rPr>
          <w:i/>
          <w:iCs/>
        </w:rPr>
        <w:t xml:space="preserve">Nature</w:t>
      </w:r>
      <w:r>
        <w:t xml:space="preserve"> </w:t>
      </w:r>
      <w:r>
        <w:t xml:space="preserve">483, 205–208</w:t>
      </w:r>
    </w:p>
    <w:bookmarkEnd w:id="93"/>
    <w:bookmarkStart w:id="95" w:name="X68c2569f5b2fe4541ba4943c3bf915f8f3f59a5"/>
    <w:p>
      <w:pPr>
        <w:pStyle w:val="Bibliography"/>
      </w:pPr>
      <w:r>
        <w:t xml:space="preserve">7.</w:t>
      </w:r>
      <w:r>
        <w:t xml:space="preserve"> </w:t>
      </w:r>
      <w:r>
        <w:t xml:space="preserve">	</w:t>
      </w:r>
      <w:r>
        <w:t xml:space="preserve">Stouffer, D.B. and Bascompte, J. (2010)</w:t>
      </w:r>
      <w:r>
        <w:t xml:space="preserve"> </w:t>
      </w:r>
      <w:hyperlink r:id="rId94">
        <w:r>
          <w:rPr>
            <w:rStyle w:val="Hyperlink"/>
          </w:rPr>
          <w:t xml:space="preserve">Understanding food-web persistence from local to global scales</w:t>
        </w:r>
      </w:hyperlink>
      <w:r>
        <w:t xml:space="preserve">.</w:t>
      </w:r>
      <w:r>
        <w:t xml:space="preserve"> </w:t>
      </w:r>
      <w:r>
        <w:rPr>
          <w:i/>
          <w:iCs/>
        </w:rPr>
        <w:t xml:space="preserve">Ecology Letters</w:t>
      </w:r>
      <w:r>
        <w:t xml:space="preserve"> </w:t>
      </w:r>
      <w:r>
        <w:t xml:space="preserve">13, 154–161</w:t>
      </w:r>
    </w:p>
    <w:bookmarkEnd w:id="95"/>
    <w:bookmarkStart w:id="97" w:name="X9080a016089356b1a0b4c4dffa0eb84c7c7baaa"/>
    <w:p>
      <w:pPr>
        <w:pStyle w:val="Bibliography"/>
      </w:pPr>
      <w:r>
        <w:t xml:space="preserve">8.</w:t>
      </w:r>
      <w:r>
        <w:t xml:space="preserve"> </w:t>
      </w:r>
      <w:r>
        <w:t xml:space="preserve">	</w:t>
      </w:r>
      <w:r>
        <w:t xml:space="preserve">Johnson, S.</w:t>
      </w:r>
      <w:r>
        <w:t xml:space="preserve"> </w:t>
      </w:r>
      <w:r>
        <w:rPr>
          <w:i/>
          <w:iCs/>
        </w:rPr>
        <w:t xml:space="preserve">et al.</w:t>
      </w:r>
      <w:r>
        <w:t xml:space="preserve"> </w:t>
      </w:r>
      <w:r>
        <w:t xml:space="preserve">(2014)</w:t>
      </w:r>
      <w:r>
        <w:t xml:space="preserve"> </w:t>
      </w:r>
      <w:hyperlink r:id="rId96">
        <w:r>
          <w:rPr>
            <w:rStyle w:val="Hyperlink"/>
          </w:rPr>
          <w:t xml:space="preserve">Trophic coherence determines food-web stability</w:t>
        </w:r>
      </w:hyperlink>
      <w:r>
        <w:t xml:space="preserve">.</w:t>
      </w:r>
      <w:r>
        <w:t xml:space="preserve"> </w:t>
      </w:r>
      <w:r>
        <w:rPr>
          <w:i/>
          <w:iCs/>
        </w:rPr>
        <w:t xml:space="preserve">Proceedings of the National Academy of Sciences</w:t>
      </w:r>
      <w:r>
        <w:t xml:space="preserve"> </w:t>
      </w:r>
      <w:r>
        <w:t xml:space="preserve">111, 17923–17928</w:t>
      </w:r>
    </w:p>
    <w:bookmarkEnd w:id="97"/>
    <w:bookmarkStart w:id="99" w:name="X36aef5157aa3ddd99c1977c5616cca2243282d0"/>
    <w:p>
      <w:pPr>
        <w:pStyle w:val="Bibliography"/>
      </w:pPr>
      <w:r>
        <w:t xml:space="preserve">9.</w:t>
      </w:r>
      <w:r>
        <w:t xml:space="preserve"> </w:t>
      </w:r>
      <w:r>
        <w:t xml:space="preserve">	</w:t>
      </w:r>
      <w:r>
        <w:t xml:space="preserve">Tilman, D. (1996)</w:t>
      </w:r>
      <w:r>
        <w:t xml:space="preserve"> </w:t>
      </w:r>
      <w:hyperlink r:id="rId98">
        <w:r>
          <w:rPr>
            <w:rStyle w:val="Hyperlink"/>
          </w:rPr>
          <w:t xml:space="preserve">Biodiversity:</w:t>
        </w:r>
        <w:r>
          <w:rPr>
            <w:rStyle w:val="Hyperlink"/>
          </w:rPr>
          <w:t xml:space="preserve"> </w:t>
        </w:r>
        <w:r>
          <w:rPr>
            <w:rStyle w:val="Hyperlink"/>
          </w:rPr>
          <w:t xml:space="preserve">Population Versus Ecosystem Stability</w:t>
        </w:r>
      </w:hyperlink>
      <w:r>
        <w:t xml:space="preserve">.</w:t>
      </w:r>
      <w:r>
        <w:t xml:space="preserve"> </w:t>
      </w:r>
      <w:r>
        <w:rPr>
          <w:i/>
          <w:iCs/>
        </w:rPr>
        <w:t xml:space="preserve">Ecology</w:t>
      </w:r>
      <w:r>
        <w:t xml:space="preserve"> </w:t>
      </w:r>
      <w:r>
        <w:t xml:space="preserve">77, 350–363</w:t>
      </w:r>
    </w:p>
    <w:bookmarkEnd w:id="99"/>
    <w:bookmarkStart w:id="101" w:name="ref-ivesStabilityDiversityEcosystems2007"/>
    <w:p>
      <w:pPr>
        <w:pStyle w:val="Bibliography"/>
      </w:pPr>
      <w:r>
        <w:t xml:space="preserve">10.</w:t>
      </w:r>
      <w:r>
        <w:t xml:space="preserve"> </w:t>
      </w:r>
      <w:r>
        <w:t xml:space="preserve">	</w:t>
      </w:r>
      <w:r>
        <w:t xml:space="preserve">Ives, A.R. and Carpenter, S.R. (2007)</w:t>
      </w:r>
      <w:r>
        <w:t xml:space="preserve"> </w:t>
      </w:r>
      <w:hyperlink r:id="rId100">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w:t>
      </w:r>
      <w:r>
        <w:t xml:space="preserve"> </w:t>
      </w:r>
      <w:r>
        <w:rPr>
          <w:i/>
          <w:iCs/>
        </w:rPr>
        <w:t xml:space="preserve">Science</w:t>
      </w:r>
      <w:r>
        <w:t xml:space="preserve"> </w:t>
      </w:r>
      <w:r>
        <w:t xml:space="preserve">317, 58–62</w:t>
      </w:r>
    </w:p>
    <w:bookmarkEnd w:id="101"/>
    <w:bookmarkStart w:id="103" w:name="Xd3bc60a647f9ff13377c15a84381aefaf14c1db"/>
    <w:p>
      <w:pPr>
        <w:pStyle w:val="Bibliography"/>
      </w:pPr>
      <w:r>
        <w:t xml:space="preserve">11.</w:t>
      </w:r>
      <w:r>
        <w:t xml:space="preserve"> </w:t>
      </w:r>
      <w:r>
        <w:t xml:space="preserve">	</w:t>
      </w:r>
      <w:r>
        <w:t xml:space="preserve">Loreau, M. and de Mazancourt, C. (2013)</w:t>
      </w:r>
      <w:r>
        <w:t xml:space="preserve"> </w:t>
      </w:r>
      <w:hyperlink r:id="rId102">
        <w:r>
          <w:rPr>
            <w:rStyle w:val="Hyperlink"/>
          </w:rPr>
          <w:t xml:space="preserve">Biodiversity and ecosystem stability: A synthesis of underlying mechanisms</w:t>
        </w:r>
      </w:hyperlink>
      <w:r>
        <w:t xml:space="preserve">.</w:t>
      </w:r>
      <w:r>
        <w:t xml:space="preserve"> </w:t>
      </w:r>
      <w:r>
        <w:rPr>
          <w:i/>
          <w:iCs/>
        </w:rPr>
        <w:t xml:space="preserve">Ecology Letters</w:t>
      </w:r>
      <w:r>
        <w:t xml:space="preserve"> </w:t>
      </w:r>
      <w:r>
        <w:t xml:space="preserve">16, 106–115</w:t>
      </w:r>
    </w:p>
    <w:bookmarkEnd w:id="103"/>
    <w:bookmarkStart w:id="105" w:name="Xaecfe1d4a33bf02078e0db488e6aa2f6950ed89"/>
    <w:p>
      <w:pPr>
        <w:pStyle w:val="Bibliography"/>
      </w:pPr>
      <w:r>
        <w:t xml:space="preserve">12.</w:t>
      </w:r>
      <w:r>
        <w:t xml:space="preserve"> </w:t>
      </w:r>
      <w:r>
        <w:t xml:space="preserve">	</w:t>
      </w:r>
      <w:r>
        <w:t xml:space="preserve">Pimm, S.L. (1984)</w:t>
      </w:r>
      <w:r>
        <w:t xml:space="preserve"> </w:t>
      </w:r>
      <w:hyperlink r:id="rId104">
        <w:r>
          <w:rPr>
            <w:rStyle w:val="Hyperlink"/>
          </w:rPr>
          <w:t xml:space="preserve">The complexity and stability of ecosystems</w:t>
        </w:r>
      </w:hyperlink>
      <w:r>
        <w:t xml:space="preserve">.</w:t>
      </w:r>
      <w:r>
        <w:t xml:space="preserve"> </w:t>
      </w:r>
      <w:r>
        <w:rPr>
          <w:i/>
          <w:iCs/>
        </w:rPr>
        <w:t xml:space="preserve">Nature</w:t>
      </w:r>
      <w:r>
        <w:t xml:space="preserve"> </w:t>
      </w:r>
      <w:r>
        <w:t xml:space="preserve">307, 321–326</w:t>
      </w:r>
    </w:p>
    <w:bookmarkEnd w:id="105"/>
    <w:bookmarkStart w:id="107" w:name="ref-thompsonFoodWebsReconciling2012"/>
    <w:p>
      <w:pPr>
        <w:pStyle w:val="Bibliography"/>
      </w:pPr>
      <w:r>
        <w:t xml:space="preserve">13.</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106">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107"/>
    <w:bookmarkStart w:id="109" w:name="ref-williamsLimitsTrophicLevels2004"/>
    <w:p>
      <w:pPr>
        <w:pStyle w:val="Bibliography"/>
      </w:pPr>
      <w:r>
        <w:t xml:space="preserve">14.</w:t>
      </w:r>
      <w:r>
        <w:t xml:space="preserve"> </w:t>
      </w:r>
      <w:r>
        <w:t xml:space="preserve">	</w:t>
      </w:r>
      <w:r>
        <w:t xml:space="preserve">Williams, R.J. and Martinez, N.D. (2004)</w:t>
      </w:r>
      <w:r>
        <w:t xml:space="preserve"> </w:t>
      </w:r>
      <w:hyperlink r:id="rId108">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109"/>
    <w:bookmarkStart w:id="111" w:name="X781f7e482417d8f33d808967da8cf24a047c245"/>
    <w:p>
      <w:pPr>
        <w:pStyle w:val="Bibliography"/>
      </w:pPr>
      <w:r>
        <w:t xml:space="preserve">15.</w:t>
      </w:r>
      <w:r>
        <w:t xml:space="preserve"> </w:t>
      </w:r>
      <w:r>
        <w:t xml:space="preserve">	</w:t>
      </w:r>
      <w:r>
        <w:t xml:space="preserve">Yodzis, P. and Winemiller, K.O. (1999)</w:t>
      </w:r>
      <w:r>
        <w:t xml:space="preserve"> </w:t>
      </w:r>
      <w:hyperlink r:id="rId110">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111"/>
    <w:bookmarkStart w:id="113" w:name="ref-estradaUsingNetworkCentrality2008"/>
    <w:p>
      <w:pPr>
        <w:pStyle w:val="Bibliography"/>
      </w:pPr>
      <w:r>
        <w:t xml:space="preserve">16.</w:t>
      </w:r>
      <w:r>
        <w:t xml:space="preserve"> </w:t>
      </w:r>
      <w:r>
        <w:t xml:space="preserve">	</w:t>
      </w:r>
      <w:r>
        <w:t xml:space="preserve">Estrada, E. and Bodin, Ö. (2008)</w:t>
      </w:r>
      <w:r>
        <w:t xml:space="preserve"> </w:t>
      </w:r>
      <w:hyperlink r:id="rId112">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113"/>
    <w:bookmarkStart w:id="115" w:name="X5f45a7a099d08070703fc184810d23dd2e88abd"/>
    <w:p>
      <w:pPr>
        <w:pStyle w:val="Bibliography"/>
      </w:pPr>
      <w:r>
        <w:t xml:space="preserve">17.</w:t>
      </w:r>
      <w:r>
        <w:t xml:space="preserve"> </w:t>
      </w:r>
      <w:r>
        <w:t xml:space="preserve">	</w:t>
      </w:r>
      <w:r>
        <w:t xml:space="preserve">Watts, D.J. and Strogatz, S.H. (1998)</w:t>
      </w:r>
      <w:r>
        <w:t xml:space="preserve"> </w:t>
      </w:r>
      <w:hyperlink r:id="rId114">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115"/>
    <w:bookmarkStart w:id="117" w:name="ref-strydomSVDEntropyReveals2021"/>
    <w:p>
      <w:pPr>
        <w:pStyle w:val="Bibliography"/>
      </w:pPr>
      <w:r>
        <w:t xml:space="preserve">18.</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116">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117"/>
    <w:bookmarkStart w:id="119" w:name="ref-jonssonReliabilityR50Measure2015"/>
    <w:p>
      <w:pPr>
        <w:pStyle w:val="Bibliography"/>
      </w:pPr>
      <w:r>
        <w:t xml:space="preserve">19.</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118">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119"/>
    <w:bookmarkStart w:id="121" w:name="ref-stoufferEvidenceExistenceRobust2007"/>
    <w:p>
      <w:pPr>
        <w:pStyle w:val="Bibliography"/>
      </w:pPr>
      <w:r>
        <w:t xml:space="preserve">20.</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120">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121"/>
    <w:bookmarkStart w:id="123" w:name="ref-miloNetworkMotifsSimple2002"/>
    <w:p>
      <w:pPr>
        <w:pStyle w:val="Bibliography"/>
      </w:pPr>
      <w:r>
        <w:t xml:space="preserve">21.</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122">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32" Target="media/rId32.png" /><Relationship Type="http://schemas.openxmlformats.org/officeDocument/2006/relationships/hyperlink" Id="rId84" Target="https://doi.org/10.1002/ecs2.1900" TargetMode="External" /><Relationship Type="http://schemas.openxmlformats.org/officeDocument/2006/relationships/hyperlink" Id="rId106" Target="https://doi.org/10.1016/j.tree.2012.08.005" TargetMode="External" /><Relationship Type="http://schemas.openxmlformats.org/officeDocument/2006/relationships/hyperlink" Id="rId86" Target="https://doi.org/10.1038/238413a0" TargetMode="External" /><Relationship Type="http://schemas.openxmlformats.org/officeDocument/2006/relationships/hyperlink" Id="rId104" Target="https://doi.org/10.1038/307321a0" TargetMode="External" /><Relationship Type="http://schemas.openxmlformats.org/officeDocument/2006/relationships/hyperlink" Id="rId114" Target="https://doi.org/10.1038/30918" TargetMode="External" /><Relationship Type="http://schemas.openxmlformats.org/officeDocument/2006/relationships/hyperlink" Id="rId90" Target="https://doi.org/10.1038/35012234" TargetMode="External" /><Relationship Type="http://schemas.openxmlformats.org/officeDocument/2006/relationships/hyperlink" Id="rId92" Target="https://doi.org/10.1038/nature10832" TargetMode="External" /><Relationship Type="http://schemas.openxmlformats.org/officeDocument/2006/relationships/hyperlink" Id="rId96" Target="https://doi.org/10.1073/pnas.1409077111" TargetMode="External" /><Relationship Type="http://schemas.openxmlformats.org/officeDocument/2006/relationships/hyperlink" Id="rId108" Target="https://doi.org/10.1086/381964" TargetMode="External" /><Relationship Type="http://schemas.openxmlformats.org/officeDocument/2006/relationships/hyperlink" Id="rId120" Target="https://doi.org/10.1098/rspb.2007.0571" TargetMode="External" /><Relationship Type="http://schemas.openxmlformats.org/officeDocument/2006/relationships/hyperlink" Id="rId102" Target="https://doi.org/10.1111/ele.12073" TargetMode="External" /><Relationship Type="http://schemas.openxmlformats.org/officeDocument/2006/relationships/hyperlink" Id="rId94" Target="https://doi.org/10.1111/j.1461-0248.2009.01407.x" TargetMode="External" /><Relationship Type="http://schemas.openxmlformats.org/officeDocument/2006/relationships/hyperlink" Id="rId118" Target="https://doi.org/10.1111/oik.01588" TargetMode="External" /><Relationship Type="http://schemas.openxmlformats.org/officeDocument/2006/relationships/hyperlink" Id="rId100" Target="https://doi.org/10.1126/science.1133258" TargetMode="External" /><Relationship Type="http://schemas.openxmlformats.org/officeDocument/2006/relationships/hyperlink" Id="rId122"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112" Target="https://doi.org/10.1890/07-1419.1" TargetMode="External" /><Relationship Type="http://schemas.openxmlformats.org/officeDocument/2006/relationships/hyperlink" Id="rId98" Target="https://doi.org/10.2307/2265614" TargetMode="External" /><Relationship Type="http://schemas.openxmlformats.org/officeDocument/2006/relationships/hyperlink" Id="rId110" Target="https://doi.org/10.2307/3546748" TargetMode="External" /><Relationship Type="http://schemas.openxmlformats.org/officeDocument/2006/relationships/hyperlink" Id="rId88" Target="https://doi.org/10.2307/j.ctvs32rq4" TargetMode="External" /><Relationship Type="http://schemas.openxmlformats.org/officeDocument/2006/relationships/hyperlink" Id="rId116"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2/ecs2.1900" TargetMode="External" /><Relationship Type="http://schemas.openxmlformats.org/officeDocument/2006/relationships/hyperlink" Id="rId106" Target="https://doi.org/10.1016/j.tree.2012.08.005" TargetMode="External" /><Relationship Type="http://schemas.openxmlformats.org/officeDocument/2006/relationships/hyperlink" Id="rId86" Target="https://doi.org/10.1038/238413a0" TargetMode="External" /><Relationship Type="http://schemas.openxmlformats.org/officeDocument/2006/relationships/hyperlink" Id="rId104" Target="https://doi.org/10.1038/307321a0" TargetMode="External" /><Relationship Type="http://schemas.openxmlformats.org/officeDocument/2006/relationships/hyperlink" Id="rId114" Target="https://doi.org/10.1038/30918" TargetMode="External" /><Relationship Type="http://schemas.openxmlformats.org/officeDocument/2006/relationships/hyperlink" Id="rId90" Target="https://doi.org/10.1038/35012234" TargetMode="External" /><Relationship Type="http://schemas.openxmlformats.org/officeDocument/2006/relationships/hyperlink" Id="rId92" Target="https://doi.org/10.1038/nature10832" TargetMode="External" /><Relationship Type="http://schemas.openxmlformats.org/officeDocument/2006/relationships/hyperlink" Id="rId96" Target="https://doi.org/10.1073/pnas.1409077111" TargetMode="External" /><Relationship Type="http://schemas.openxmlformats.org/officeDocument/2006/relationships/hyperlink" Id="rId108" Target="https://doi.org/10.1086/381964" TargetMode="External" /><Relationship Type="http://schemas.openxmlformats.org/officeDocument/2006/relationships/hyperlink" Id="rId120" Target="https://doi.org/10.1098/rspb.2007.0571" TargetMode="External" /><Relationship Type="http://schemas.openxmlformats.org/officeDocument/2006/relationships/hyperlink" Id="rId102" Target="https://doi.org/10.1111/ele.12073" TargetMode="External" /><Relationship Type="http://schemas.openxmlformats.org/officeDocument/2006/relationships/hyperlink" Id="rId94" Target="https://doi.org/10.1111/j.1461-0248.2009.01407.x" TargetMode="External" /><Relationship Type="http://schemas.openxmlformats.org/officeDocument/2006/relationships/hyperlink" Id="rId118" Target="https://doi.org/10.1111/oik.01588" TargetMode="External" /><Relationship Type="http://schemas.openxmlformats.org/officeDocument/2006/relationships/hyperlink" Id="rId100" Target="https://doi.org/10.1126/science.1133258" TargetMode="External" /><Relationship Type="http://schemas.openxmlformats.org/officeDocument/2006/relationships/hyperlink" Id="rId122"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112" Target="https://doi.org/10.1890/07-1419.1" TargetMode="External" /><Relationship Type="http://schemas.openxmlformats.org/officeDocument/2006/relationships/hyperlink" Id="rId98" Target="https://doi.org/10.2307/2265614" TargetMode="External" /><Relationship Type="http://schemas.openxmlformats.org/officeDocument/2006/relationships/hyperlink" Id="rId110" Target="https://doi.org/10.2307/3546748" TargetMode="External" /><Relationship Type="http://schemas.openxmlformats.org/officeDocument/2006/relationships/hyperlink" Id="rId88" Target="https://doi.org/10.2307/j.ctvs32rq4" TargetMode="External" /><Relationship Type="http://schemas.openxmlformats.org/officeDocument/2006/relationships/hyperlink" Id="rId116"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2026-03-16T10:33:44Z</dcterms:created>
  <dcterms:modified xsi:type="dcterms:W3CDTF">2026-03-16T10:33:44Z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2026-03-16</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