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43.png" ContentType="image/png"/>
  <Override PartName="/word/media/rId31.png" ContentType="image/png"/>
  <Override PartName="/word/media/rId72.png" ContentType="image/png"/>
  <Override PartName="/word/media/rId27.png" ContentType="image/png"/>
  <Override PartName="/word/media/rId35.png" ContentType="image/png"/>
  <Override PartName="/word/media/rId53.png" ContentType="image/png"/>
  <Override PartName="/word/media/rId57.png" ContentType="image/png"/>
  <Override PartName="/word/media/rId68.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2026-03-19</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(Vermaat et al. 2009; Lau et al. 2017)</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Ecological theory has long sought general principles linking the architecture of interaction networks to ecosystem stability. Early theoretical work framed this relationship in terms of system complexity, most famously through the analysis of random community matrices by Robert May, who showed that increasing species richness, interaction density, and interaction strength variance should reduce local dynamical stability in large ecological systems</w:t>
      </w:r>
      <w:r>
        <w:t xml:space="preserve"> </w:t>
      </w:r>
      <w:r>
        <w:t xml:space="preserve">(May 1972, 1974)</w:t>
      </w:r>
      <w:r>
        <w:t xml:space="preserve">. Subsequent work refined this prediction by demonstrating that specific forms of network organisation such as interaction structure, trophic hierarchy, and compartmentalisation can substantially alter stability outcomes</w:t>
      </w:r>
      <w:r>
        <w:t xml:space="preserve"> </w:t>
      </w:r>
      <w:r>
        <w:t xml:space="preserve">(McCann 2000; Stouffer and Bascompte 2010; Allesina and Tang 2012)</w:t>
      </w:r>
      <w:r>
        <w:t xml:space="preserve">. More recently, structural theories such as trophic coherence have proposed that food webs occupy constrained regions of structural space in which particular architectural features strongly influence system stability</w:t>
      </w:r>
      <w:r>
        <w:t xml:space="preserve"> </w:t>
      </w:r>
      <w:r>
        <w:t xml:space="preserve">(Johnson et al. 2014)</w:t>
      </w:r>
      <w:r>
        <w:t xml:space="preserve">. At the same time, ecological stability itself is now widely recognised as a multidimensional concept encompassing distinct dynamical properties such as persistence, resistance to disturbance, and recovery dynamics</w:t>
      </w:r>
      <w:r>
        <w:t xml:space="preserve"> </w:t>
      </w:r>
      <w:r>
        <w:t xml:space="preserve">(Ives and Carpenter 2007; Loreau and de Mazancourt 2013; Donohue et al. 2016; Domínguez-García et al. 2019)</w:t>
      </w:r>
      <w:r>
        <w:t xml:space="preserve">. Together these developments suggest that the relationship between network structure and ecological stability may be more complex than originally assumed, specifically that both structure and stability are multidimensional properties of ecological systems. If so, apparent inconsistencies in the structure–stability literature may arise not because theoretical predictions are incorrect, but because different studies measure different aspects of network architecture and different components of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w:t>
      </w:r>
      <w:r>
        <w:t xml:space="preserve"> </w:t>
      </w:r>
      <w:r>
        <w:t xml:space="preserve">(Pimm 1984; Ives and Carpenter 2007)</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(Thompson et al. 2012)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(Allesina and Tang 2012)</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(Lau et al. 2017)</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food web data from Mangal</w:t>
      </w:r>
      <w:r>
        <w:t xml:space="preserve"> </w:t>
      </w:r>
      <w:r>
        <w:t xml:space="preserve">(Poisot et al. 2016)</w:t>
      </w:r>
      <w:r>
        <w:t xml:space="preserve">, Web of Life</w:t>
      </w:r>
      <w:r>
        <w:t xml:space="preserve"> </w:t>
      </w:r>
      <w:r>
        <w:t xml:space="preserve">(Fortuna et al. 2014)</w:t>
      </w:r>
      <w:r>
        <w:t xml:space="preserve">, and the canonical networks used by</w:t>
      </w:r>
      <w:r>
        <w:t xml:space="preserve"> </w:t>
      </w:r>
      <w:r>
        <w:t xml:space="preserve">Vermaat et al. (2009)</w:t>
      </w:r>
      <w:r>
        <w:t xml:space="preserve">, resulting in a total of XX networks. All networks were treated as binary and characterised using a suite of XX structural metrics (see</w:t>
      </w:r>
      <w:r>
        <w:t xml:space="preserve"> </w:t>
      </w:r>
      <w:hyperlink w:anchor="tbl-properti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Vermaat et al. (2009)</w:t>
            </w:r>
            <w:r>
              <w:t xml:space="preserve"> </w:t>
            </w:r>
            <w:r>
              <w:t xml:space="preserve">paper as well as including those that have been identified by</w:t>
            </w:r>
            <w:r>
              <w:t xml:space="preserve"> </w:t>
            </w:r>
            <w:r>
              <w:t xml:space="preserve">Thompson et al. (2012)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Williams and Martinez (2004)</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Yodzis and Winemiller (1999)</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Estrada and Bodin (2008)</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McCann (2000)</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Watts and Strogatz (1998)</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Williams and Martinez (2004)</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Williams and Martinez (2004)</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Stouffer et al. (2006)</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trophicVar</w:t>
                  </w:r>
                </w:p>
              </w:tc>
              <w:tc>
                <w:tcPr/>
                <w:p>
                  <w:pPr>
                    <w:pStyle w:val="Compact"/>
                    <w:jc w:val="center"/>
                  </w:pPr>
                  <w:r>
                    <w:t xml:space="preserve">Measure of how much the trophic positions of species deviate from the mean trophic level.</w:t>
                  </w:r>
                </w:p>
              </w:tc>
              <w:tc>
                <w:tcPr/>
                <w:p>
                  <w:pPr>
                    <w:pStyle w:val="Compact"/>
                    <w:jc w:val="center"/>
                  </w:pPr>
                  <w:r>
                    <w:t xml:space="preserve">Variance is linked to chain length, with low variance indicating few long chains and high variance indicates long chains and varied interactions</w:t>
                  </w:r>
                </w:p>
              </w:tc>
              <w:tc>
                <w:tcPr/>
                <w:p>
                  <w:pPr>
                    <w:pStyle w:val="Compact"/>
                    <w:jc w:val="center"/>
                  </w:pPr>
                  <w:r>
                    <w:t xml:space="preserve">Pimm (1982)</w:t>
                  </w:r>
                </w:p>
              </w:tc>
            </w:tr>
            <w:tr>
              <w:tc>
                <w:tcPr/>
                <w:p>
                  <w:pPr>
                    <w:pStyle w:val="Compact"/>
                    <w:jc w:val="center"/>
                  </w:pPr>
                  <w:r>
                    <w:t xml:space="preserve">TrophicCoherence</w:t>
                  </w:r>
                </w:p>
              </w:tc>
              <w:tc>
                <w:tcPr/>
                <w:p>
                  <w:pPr>
                    <w:pStyle w:val="Compact"/>
                    <w:jc w:val="center"/>
                  </w:pPr>
                  <w:r>
                    <w:t xml:space="preserve">Measure how well the species in a food web fit into discrete trophic levels.</w:t>
                  </w:r>
                </w:p>
              </w:tc>
              <w:tc>
                <w:tcPr/>
                <w:p>
                  <w:pPr>
                    <w:pStyle w:val="Compact"/>
                    <w:jc w:val="center"/>
                  </w:pPr>
                  <w:r>
                    <w:t xml:space="preserve">Highly coherent, neatly layered food webs are more stable to perturbations</w:t>
                  </w:r>
                </w:p>
              </w:tc>
              <w:tc>
                <w:tcPr/>
                <w:p>
                  <w:pPr>
                    <w:pStyle w:val="Compact"/>
                    <w:jc w:val="center"/>
                  </w:pPr>
                  <w:r>
                    <w:t xml:space="preserve">Johnson et al. (2014)</w:t>
                  </w:r>
                </w:p>
              </w:tc>
            </w:tr>
          </w:tbl>
          <w:bookmarkEnd w:id="10"/>
          <w:p/>
        </w:tc>
      </w:tr>
    </w:tbl>
    <w:p>
      <w:pPr>
        <w:pStyle w:val="BodyText"/>
      </w:pPr>
      <w:r>
        <w:t xml:space="preserve">In addition to network structural descriptors, we quantified multiple complementary measures of ecological stability that reflect different dynamical processes. Specifically, we included (1) Robustness (as area under extinction curve), which measures the proportion of secondary extinctions following sequential species loss and captures tolerance to perturbation</w:t>
      </w:r>
      <w:r>
        <w:t xml:space="preserve"> </w:t>
      </w:r>
      <w:r>
        <w:t xml:space="preserve">(Dunne et al. 2002)</w:t>
      </w:r>
      <w:r>
        <w:t xml:space="preserve">; (2) Complexity (SVD), defined as the Shannon entropy of the singular value decomposition of the adjacency matrix, representing heterogeneity in interaction pathways and potential system-level fragility</w:t>
      </w:r>
      <w:r>
        <w:t xml:space="preserve"> </w:t>
      </w:r>
      <w:r>
        <w:t xml:space="preserve">(Strydom et al. 2021)</w:t>
      </w:r>
      <w:r>
        <w:t xml:space="preserve">; (3) Spectral Radius (</w:t>
      </w:r>
      <m:oMath>
        <m:r>
          <m:t>ρ</m:t>
        </m:r>
      </m:oMath>
      <w:r>
        <w:t xml:space="preserve">), the largest real part of the eigenvalues of the adjacency matrix and can conceptually</w:t>
      </w:r>
      <w:r>
        <w:t xml:space="preserve"> </w:t>
      </w:r>
      <m:oMath>
        <m:r>
          <m:t>ρ</m:t>
        </m:r>
      </m:oMath>
      <w:r>
        <w:t xml:space="preserve"> </w:t>
      </w:r>
      <w:r>
        <w:t xml:space="preserve">be thought of as a unipartite equivalent of nestedness</w:t>
      </w:r>
      <w:r>
        <w:t xml:space="preserve"> </w:t>
      </w:r>
      <w:r>
        <w:t xml:space="preserve">(Staniczenko et al. 2013)</w:t>
      </w:r>
      <w:r>
        <w:t xml:space="preserve"> </w:t>
      </w:r>
      <w:r>
        <w:t xml:space="preserve">making it a proxy for network persistence</w:t>
      </w:r>
      <w:r>
        <w:t xml:space="preserve"> </w:t>
      </w:r>
      <w:r>
        <w:t xml:space="preserve">(Bascompte et al. 2003)</w:t>
      </w:r>
      <w:r>
        <w:t xml:space="preserve">; and (4) Structural Controllability, which evaluates the minimum number of driver species required to control the network’s dynamics and thus captures the capacity for directed reorganisation following perturbation</w:t>
      </w:r>
      <w:r>
        <w:t xml:space="preserve"> </w:t>
      </w:r>
      <w:r>
        <w:t xml:space="preserve">(Liu et al. 2011)</w:t>
      </w:r>
      <w:r>
        <w:t xml:space="preserve">. Together, these metrics operationalise multiple facets of ecological stability, linking structural organisation to distinct dynamical processes within food webs.</w:t>
      </w:r>
    </w:p>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organisation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XX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w:t>
      </w:r>
      <m:oMath>
        <m:r>
          <m:t>k</m:t>
        </m:r>
        <m:r>
          <m:rPr>
            <m:sty m:val="p"/>
          </m:rPr>
          <m:t>=</m:t>
        </m:r>
        <m:r>
          <m:t>2</m:t>
        </m:r>
        <m:r>
          <m:rPr>
            <m:sty m:val="p"/>
          </m:rPr>
          <m:t>–</m:t>
        </m:r>
        <m:r>
          <m:t>10</m:t>
        </m:r>
      </m:oMath>
      <w:r>
        <w:t xml:space="preserve">)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organise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standardised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w:t>
      </w:r>
      <w:r>
        <w:t xml:space="preserve"> </w:t>
      </w:r>
      <m:oMath>
        <m:r>
          <m:t>P</m:t>
        </m:r>
        <m:sSub>
          <m:e>
            <m:r>
              <m:t>C</m:t>
            </m:r>
          </m:e>
          <m:sub>
            <m:r>
              <m:t>k</m:t>
            </m:r>
          </m:sub>
        </m:sSub>
      </m:oMath>
      <w:r>
        <w:t xml:space="preserve"> </w:t>
      </w:r>
      <w:r>
        <w:t xml:space="preserve">and</w:t>
      </w:r>
      <w:r>
        <w:t xml:space="preserve"> </w:t>
      </w:r>
      <m:oMath>
        <m:sSub>
          <m:e>
            <m:r>
              <m:t>A</m:t>
            </m:r>
          </m:e>
          <m:sub>
            <m:r>
              <m:t>m</m:t>
            </m:r>
            <m:r>
              <m:t>k</m:t>
            </m:r>
          </m:sub>
        </m:sSub>
      </m:oMath>
      <w:r>
        <w:t xml:space="preserve"> </w:t>
      </w:r>
      <w:r>
        <w:t xml:space="preserve">represents the fraction of variance in</w:t>
      </w:r>
      <w:r>
        <w:t xml:space="preserve"> </w:t>
      </w:r>
      <m:oMath>
        <m:r>
          <m:t>P</m:t>
        </m:r>
        <m:sSub>
          <m:e>
            <m:r>
              <m:t>C</m:t>
            </m:r>
          </m:e>
          <m:sub>
            <m:r>
              <m:t>k</m:t>
            </m:r>
          </m:sub>
        </m:sSub>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w:r>
        <w:t xml:space="preserve">where:</w:t>
      </w:r>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w:r>
        <w:t xml:space="preserve">and:</w:t>
      </w:r>
    </w:p>
    <w:p>
      <w:pPr>
        <w:pStyle w:val="BodyText"/>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7"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centralisation,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w:t>
      </w:r>
      <w:r>
        <w:t xml:space="preserve"> </w:t>
      </w:r>
      <m:oMath>
        <m:r>
          <m:t>1</m:t>
        </m:r>
        <m:r>
          <m:rPr>
            <m:sty m:val="p"/>
          </m:rPr>
          <m:t>−</m:t>
        </m:r>
        <m:r>
          <m:rPr>
            <m:sty m:val="p"/>
          </m:rPr>
          <m:t>∣</m:t>
        </m:r>
        <m:r>
          <m:t>r</m:t>
        </m:r>
        <m:r>
          <m:rPr>
            <m:sty m:val="p"/>
          </m:rPr>
          <m:t>∣</m:t>
        </m:r>
      </m:oMath>
      <w:r>
        <w:t xml:space="preserve">. The medoid was identified as the metric minimising mean pairwise distance to other metrics in the cluster. This approach preserves structural diversity while minimising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prioritises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organisation.</w:t>
      </w:r>
    </w:p>
    <w:bookmarkEnd w:id="16"/>
    <w:bookmarkEnd w:id="17"/>
    <w:bookmarkStart w:id="19" w:name="structural-control-of-stability"/>
    <w:p>
      <w:pPr>
        <w:pStyle w:val="Heading2"/>
      </w:pPr>
      <w:r>
        <w:t xml:space="preserve">2.5 Structural Control of Stability</w:t>
      </w:r>
    </w:p>
    <w:p>
      <w:pPr>
        <w:pStyle w:val="FirstParagraph"/>
      </w:pPr>
      <w:r>
        <w:t xml:space="preserve">To evaluate how hierarchical representations of network structure explain variation in stability, we modelled four complementary stability outcomes: Robustness (</w:t>
      </w:r>
      <m:oMath>
        <m:sSub>
          <m:e>
            <m:r>
              <m:t>R</m:t>
            </m:r>
          </m:e>
          <m:sub>
            <m:r>
              <m:t>50</m:t>
            </m:r>
          </m:sub>
        </m:sSub>
      </m:oMath>
      <w:r>
        <w:t xml:space="preserve">), Complexity (SVD), Spectral Radius (ρ), and Structural Controllability. These measures capture distinct dynamical processes governing ecosystem persistence, resistance, and controllability. Elastic net regression models were fit separately for each stability metric using three structural representations (cluster medoids, PC-dominant metrics, and full PCA scores), allowing us to compare the structural determinants of different stability processes. All predictors and response variables were standardised prior to analysis to allow direct comparison of coefficient magnitudes.</w:t>
      </w:r>
    </w:p>
    <w:p>
      <w:pPr>
        <w:pStyle w:val="BodyText"/>
      </w:pPr>
      <w:r>
        <w:t xml:space="preserve">Elastic net regularisation was chosen because it permits inference under correlated predictors by interpolating between ridge (distributed shrinkage) and lasso (sparse selection) penalties. The mixing parameter</w:t>
      </w:r>
      <w:r>
        <w:t xml:space="preserve"> </w:t>
      </w:r>
      <m:oMath>
        <m:r>
          <m:t>α</m:t>
        </m:r>
      </m:oMath>
      <w:r>
        <w:t xml:space="preserve"> </w:t>
      </w:r>
      <w:r>
        <w:t xml:space="preserve">(0–1) determines the degree of sparsity, with lower</w:t>
      </w:r>
      <w:r>
        <w:t xml:space="preserve"> </w:t>
      </w:r>
      <m:oMath>
        <m:r>
          <m:t>α</m:t>
        </m:r>
      </m:oMath>
      <w:r>
        <w:t xml:space="preserve"> </w:t>
      </w:r>
      <w:r>
        <w:t xml:space="preserve">values indicate distributed influence across many correlated structural descriptors (ridge-like behaviour), whereas higher</w:t>
      </w:r>
      <w:r>
        <w:t xml:space="preserve"> </w:t>
      </w:r>
      <m:oMath>
        <m:r>
          <m:t>α</m:t>
        </m:r>
      </m:oMath>
      <w:r>
        <w:t xml:space="preserve"> </w:t>
      </w:r>
      <w:r>
        <w:t xml:space="preserve">values indicate that stability is driven by a smaller subset of structural predictors (lasso-like sparsity)..</w:t>
      </w:r>
    </w:p>
    <w:bookmarkStart w:id="18" w:name="model-evaluation"/>
    <w:p>
      <w:pPr>
        <w:pStyle w:val="Heading3"/>
      </w:pPr>
      <w:r>
        <w:t xml:space="preserve">2.5.1 Model Evaluation</w:t>
      </w:r>
    </w:p>
    <w:p>
      <w:pPr>
        <w:pStyle w:val="FirstParagraph"/>
      </w:pPr>
      <w:r>
        <w:t xml:space="preserve">Predictive performance was assessed using repeated v-fold cross-validation (5 folds x 10 repeats). Within each training partition, models were fit across a grid of α values (0–1 in increments of 0.25), and the optimal penalty strength (λ) was selected via internal cross-validation within each training partition. Performance was quantified as cross-validated</w:t>
      </w:r>
      <w:r>
        <w:t xml:space="preserve"> </w:t>
      </w:r>
      <m:oMath>
        <m:sSup>
          <m:e>
            <m:r>
              <m:t>R</m:t>
            </m:r>
          </m:e>
          <m:sup>
            <m:r>
              <m:t>2</m:t>
            </m:r>
          </m:sup>
        </m:sSup>
      </m:oMath>
      <w:r>
        <w:t xml:space="preserve"> </w:t>
      </w:r>
      <w:r>
        <w:t xml:space="preserve">computed on held-out test partitions. After cross-validation, final models were refit to the full dataset using the mean selected</w:t>
      </w:r>
      <w:r>
        <w:t xml:space="preserve"> </w:t>
      </w:r>
      <m:oMath>
        <m:r>
          <m:t>α</m:t>
        </m:r>
      </m:oMath>
      <w:r>
        <w:t xml:space="preserve">, and standardised coefficients were extracted to characterise the direction and magnitude of structural effects. The objective of this analysis was not predictive optimisation, but rather to quantify how structural organisation governs different stability processes. The elastic net mixing parameter α also provides insight into the architecture of structural control. To quantify the relative contribution of different structural modules, standardized regression coefficients from the final models were squared and aggregated within modules. The proportion of explained variance attributable to each module was then scaled by the model’s cross-validated</w:t>
      </w:r>
      <w:r>
        <w:t xml:space="preserve"> </w:t>
      </w:r>
      <m:oMath>
        <m:sSup>
          <m:e>
            <m:r>
              <m:t>R</m:t>
            </m:r>
          </m:e>
          <m:sup>
            <m:r>
              <m:t>2</m:t>
            </m:r>
          </m:sup>
        </m:sSup>
      </m:oMath>
      <w:r>
        <w:t xml:space="preserve">, providing a measure of the absolute variance in stability explained by each structural component.</w:t>
      </w:r>
    </w:p>
    <w:bookmarkEnd w:id="18"/>
    <w:bookmarkEnd w:id="19"/>
    <w:bookmarkEnd w:id="20"/>
    <w:bookmarkStart w:id="78" w:name="results"/>
    <w:p>
      <w:pPr>
        <w:pStyle w:val="Heading1"/>
      </w:pPr>
      <w:r>
        <w:t xml:space="preserve">3. Results</w:t>
      </w:r>
    </w:p>
    <w:bookmarkStart w:id="26"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909454"/>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w:t>
      </w:r>
      <w:r>
        <w:t xml:space="preserve"> </w:t>
      </w:r>
      <w:hyperlink w:anchor="tbl-modules">
        <w:r>
          <w:rPr>
            <w:rStyle w:val="Hyperlink"/>
          </w:rPr>
          <w:t xml:space="preserve">Table 2</w:t>
        </w:r>
      </w:hyperlink>
      <w:r>
        <w:t xml:space="preserve">. These included a large-scale architectural module integrating size and motif-based descriptors, modules capturing trophic organisation and energy routing, and two modules consisting of isolated structural descriptors that function independently from broader metric groupings. The six-module solution</w:t>
      </w:r>
      <w:r>
        <w:t xml:space="preserve"> </w:t>
      </w:r>
      <w:hyperlink w:anchor="tbl-modules">
        <w:r>
          <w:rPr>
            <w:rStyle w:val="Hyperlink"/>
          </w:rPr>
          <w:t xml:space="preserve">Table 2</w:t>
        </w:r>
      </w:hyperlink>
      <w:r>
        <w:t xml:space="preserve"> </w:t>
      </w:r>
      <w:r>
        <w:t xml:space="preserve">reveals a hierarchical decomposition of food-web structural space into interpretable ecological dimensions. Collectively, these modules illustrate that network organization is shaped by multiple statistically supported axes of structural variation, reflecting size scaling, integration, energy flow, and control asymmetry.</w:t>
      </w:r>
    </w:p>
    <w:tbl>
      <w:tblPr>
        <w:tblStyle w:val="Table"/>
        <w:tblW w:type="pct" w:w="5000"/>
        <w:tblLayout w:type="fixed"/>
        <w:tblLook w:firstRow="0" w:lastRow="0" w:firstColumn="0" w:lastColumn="0" w:noHBand="0" w:noVBand="0" w:val="0000"/>
      </w:tblPr>
      <w:tblGrid>
        <w:gridCol w:w="7920"/>
      </w:tblGrid>
      <w:tr>
        <w:tc>
          <w:tcPr/>
          <w:bookmarkStart w:id="25"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 Complexity</w:t>
                  </w:r>
                </w:p>
              </w:tc>
              <w:tc>
                <w:tcPr/>
                <w:p>
                  <w:pPr>
                    <w:pStyle w:val="Compact"/>
                    <w:jc w:val="center"/>
                  </w:pPr>
                  <w:r>
                    <w:t xml:space="preserve">richness, links, l_S, S4, S5, intervals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diameter, intermediate, omnivory, cannibal, TL, ChLen, ChSD, S1, S2, loops, Clust, trophicCoherence, trophicVar</w:t>
                  </w:r>
                </w:p>
              </w:tc>
              <w:tc>
                <w:tcPr/>
                <w:p>
                  <w:pPr>
                    <w:pStyle w:val="Compact"/>
                    <w:jc w:val="center"/>
                  </w:pPr>
                  <w:r>
                    <w:t xml:space="preserve">Describes how ordered the trophic structure is and how tightly species are embedded across trophic levels</w:t>
                  </w:r>
                </w:p>
              </w:tc>
            </w:tr>
            <w:tr>
              <w:tc>
                <w:tcPr/>
                <w:p>
                  <w:pPr>
                    <w:pStyle w:val="Compact"/>
                    <w:jc w:val="center"/>
                  </w:pPr>
                  <w:r>
                    <w:t xml:space="preserve">Energy Transport</w:t>
                  </w:r>
                </w:p>
              </w:tc>
              <w:tc>
                <w:tcPr/>
                <w:p>
                  <w:pPr>
                    <w:pStyle w:val="Compact"/>
                    <w:jc w:val="center"/>
                  </w:pPr>
                  <w:r>
                    <w:t xml:space="preserve">mean distance, path length</w:t>
                  </w:r>
                </w:p>
              </w:tc>
              <w:tc>
                <w:tcPr/>
                <w:p>
                  <w:pPr>
                    <w:pStyle w:val="Compact"/>
                    <w:jc w:val="center"/>
                  </w:pPr>
                  <w:r>
                    <w:t xml:space="preserve">Quantifies geometric structure of energy routing independent of network size or trophic structure</w:t>
                  </w:r>
                </w:p>
              </w:tc>
            </w:tr>
            <w:tr>
              <w:tc>
                <w:tcPr/>
                <w:p>
                  <w:pPr>
                    <w:pStyle w:val="Compact"/>
                    <w:jc w:val="center"/>
                  </w:pPr>
                  <w:r>
                    <w:t xml:space="preserve">Trophic Role Asymmetry</w:t>
                  </w:r>
                </w:p>
              </w:tc>
              <w:tc>
                <w:tcPr/>
                <w:p>
                  <w:pPr>
                    <w:pStyle w:val="Compact"/>
                    <w:jc w:val="center"/>
                  </w:pPr>
                  <w:r>
                    <w:t xml:space="preserve">basal, predpreyRatio, GenSD, LinkSD, MaxSim</w:t>
                  </w:r>
                </w:p>
              </w:tc>
              <w:tc>
                <w:tcPr/>
                <w:p>
                  <w:pPr>
                    <w:pStyle w:val="Compact"/>
                    <w:jc w:val="center"/>
                  </w:pPr>
                  <w:r>
                    <w:t xml:space="preserve">Captures structural imbalance across trophic roles, but it also incorporates heterogeneity in consumer behaviour and redundancy.</w:t>
                  </w:r>
                </w:p>
              </w:tc>
            </w:tr>
            <w:tr>
              <w:tc>
                <w:tcPr/>
                <w:p>
                  <w:pPr>
                    <w:pStyle w:val="Compact"/>
                    <w:jc w:val="center"/>
                  </w:pPr>
                  <w:r>
                    <w:t xml:space="preserve">Control Heterogeneity</w:t>
                  </w:r>
                </w:p>
              </w:tc>
              <w:tc>
                <w:tcPr/>
                <w:p>
                  <w:pPr>
                    <w:pStyle w:val="Compact"/>
                    <w:jc w:val="center"/>
                  </w:pPr>
                  <w:r>
                    <w:t xml:space="preserve">top, VulSD, ChNum</w:t>
                  </w:r>
                </w:p>
              </w:tc>
              <w:tc>
                <w:tcPr/>
                <w:p>
                  <w:pPr>
                    <w:pStyle w:val="Compact"/>
                    <w:jc w:val="center"/>
                  </w:pPr>
                  <w:r>
                    <w:t xml:space="preserve">Reflects heterogeneity in top-down regulation and predation pressure distribution</w:t>
                  </w:r>
                </w:p>
              </w:tc>
            </w:tr>
            <w:tr>
              <w:tc>
                <w:tcPr/>
                <w:p>
                  <w:pPr>
                    <w:pStyle w:val="Compact"/>
                    <w:jc w:val="center"/>
                  </w:pPr>
                  <w:r>
                    <w:t xml:space="preserve">Basal Control</w:t>
                  </w:r>
                </w:p>
              </w:tc>
              <w:tc>
                <w:tcPr/>
                <w:p>
                  <w:pPr>
                    <w:pStyle w:val="Compact"/>
                    <w:jc w:val="center"/>
                  </w:pPr>
                  <w:r>
                    <w:t xml:space="preserve">herbivory, centrality</w:t>
                  </w:r>
                </w:p>
              </w:tc>
              <w:tc>
                <w:tcPr/>
                <w:p>
                  <w:pPr>
                    <w:pStyle w:val="Compact"/>
                    <w:jc w:val="center"/>
                  </w:pPr>
                  <w:r>
                    <w:t xml:space="preserve">Captures energy entry points and dominant structural hubs</w:t>
                  </w:r>
                </w:p>
              </w:tc>
            </w:tr>
          </w:tbl>
          <w:bookmarkEnd w:id="25"/>
          <w:p/>
        </w:tc>
      </w:tr>
    </w:tbl>
    <w:bookmarkEnd w:id="26"/>
    <w:bookmarkStart w:id="47" w:name="X88a5fb22cc012a2012a2ee06baac475b58bff9f"/>
    <w:p>
      <w:pPr>
        <w:pStyle w:val="Heading2"/>
      </w:pPr>
      <w:r>
        <w:t xml:space="preserve">3.2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68.5% of total variance (PC1 = 31.2%, PC2 = 21.5%, PC3 = 15.6%), with 80.7% explained by the first five components, indicating that a small number of dominant gradients capture most structural variation.</w:t>
      </w:r>
      <w:r>
        <w:t xml:space="preserve"> </w:t>
      </w:r>
      <w:r>
        <w:t xml:space="preserve">Variance decomposition of principal components by module revealed a structured alignment between the modular organisation of metrics and the dominant axes of variation</w:t>
      </w:r>
      <w:r>
        <w:t xml:space="preserve"> </w:t>
      </w:r>
      <w:hyperlink w:anchor="fig-alignment_heatmap">
        <w:r>
          <w:rPr>
            <w:rStyle w:val="Hyperlink"/>
          </w:rPr>
          <w:t xml:space="preserve">Figure 3</w:t>
        </w:r>
      </w:hyperlink>
      <w:r>
        <w:t xml:space="preserve">. The first two principal components were jointly structured by Macro Complexity and Trophic Integration, but in contrasting ways indicating that variation primarily separates highly integrated trophic structure from size-driven architecture. PC3 represented a distinct structural dimension dominated by Control Heterogeneity, with additional contributions from Trophic Role Asymmetry, reflecting variation in the distribution of predation pressure and imbalances among trophic roles. This axis captures differences in how strongly interactions are concentrated among species and how unevenly trophic roles are distributed across the network.</w:t>
      </w:r>
    </w:p>
    <w:tbl>
      <w:tblPr>
        <w:tblStyle w:val="Table"/>
        <w:tblW w:type="pct" w:w="5000"/>
        <w:tblLayout w:type="fixed"/>
        <w:tblLook w:firstRow="0" w:lastRow="0" w:firstColumn="0" w:lastColumn="0" w:noHBand="0" w:noVBand="0" w:val="0000"/>
      </w:tblPr>
      <w:tblGrid>
        <w:gridCol w:w="7920"/>
      </w:tblGrid>
      <w:tr>
        <w:tc>
          <w:tcPr/>
          <w:bookmarkStart w:id="30" w:name="fig-pca"/>
          <w:p>
            <w:pPr>
              <w:pStyle w:val="Compact"/>
              <w:jc w:val="center"/>
            </w:pPr>
            <w:r>
              <w:drawing>
                <wp:inline>
                  <wp:extent cx="5334000" cy="3556000"/>
                  <wp:effectExtent b="0" l="0" r="0" t="0"/>
                  <wp:docPr descr="" title="" id="28" name="Picture"/>
                  <a:graphic>
                    <a:graphicData uri="http://schemas.openxmlformats.org/drawingml/2006/picture">
                      <pic:pic>
                        <pic:nvPicPr>
                          <pic:cNvPr descr="figures/pca_loadings.pn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fig-alignment_heatmap"/>
          <w:p>
            <w:pPr>
              <w:pStyle w:val="Compact"/>
              <w:jc w:val="center"/>
            </w:pPr>
            <w:r>
              <w:drawing>
                <wp:inline>
                  <wp:extent cx="5334000" cy="2667000"/>
                  <wp:effectExtent b="0" l="0" r="0" t="0"/>
                  <wp:docPr descr="" title="" id="32" name="Picture"/>
                  <a:graphic>
                    <a:graphicData uri="http://schemas.openxmlformats.org/drawingml/2006/picture">
                      <pic:pic>
                        <pic:nvPicPr>
                          <pic:cNvPr descr="figures/module_alignment_heatmap.png" id="33" name="Picture"/>
                          <pic:cNvPicPr>
                            <a:picLocks noChangeArrowheads="1" noChangeAspect="1"/>
                          </pic:cNvPicPr>
                        </pic:nvPicPr>
                        <pic:blipFill>
                          <a:blip r:embed="rId3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pca_heatmap"/>
          <w:p>
            <w:pPr>
              <w:pStyle w:val="Compact"/>
              <w:jc w:val="center"/>
            </w:pPr>
            <w:r>
              <w:drawing>
                <wp:inline>
                  <wp:extent cx="5334000" cy="2667000"/>
                  <wp:effectExtent b="0" l="0" r="0" t="0"/>
                  <wp:docPr descr="" title="" id="36" name="Picture"/>
                  <a:graphic>
                    <a:graphicData uri="http://schemas.openxmlformats.org/drawingml/2006/picture">
                      <pic:pic>
                        <pic:nvPicPr>
                          <pic:cNvPr descr="figures/pca_loadings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variance"/>
          <w:p>
            <w:pPr>
              <w:pStyle w:val="Compact"/>
              <w:jc w:val="center"/>
            </w:pPr>
            <w:r>
              <w:drawing>
                <wp:inline>
                  <wp:extent cx="5334000" cy="2095500"/>
                  <wp:effectExtent b="0" l="0" r="0" t="0"/>
                  <wp:docPr descr="" title="" id="40" name="Picture"/>
                  <a:graphic>
                    <a:graphicData uri="http://schemas.openxmlformats.org/drawingml/2006/picture">
                      <pic:pic>
                        <pic:nvPicPr>
                          <pic:cNvPr descr="figures/variance_explained.png" id="41" name="Picture"/>
                          <pic:cNvPicPr>
                            <a:picLocks noChangeArrowheads="1" noChangeAspect="1"/>
                          </pic:cNvPicPr>
                        </pic:nvPicPr>
                        <pic:blipFill>
                          <a:blip r:embed="rId39"/>
                          <a:stretch>
                            <a:fillRect/>
                          </a:stretch>
                        </pic:blipFill>
                        <pic:spPr bwMode="auto">
                          <a:xfrm>
                            <a:off x="0" y="0"/>
                            <a:ext cx="5334000" cy="2095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normalised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42"/>
        </w:tc>
      </w:tr>
    </w:tbl>
    <w:p>
      <w:pPr>
        <w:pStyle w:val="BodyText"/>
      </w:pPr>
      <w:r>
        <w:t xml:space="preserve">Beyond the first three axes, additional modules aligned with more specialised components of structural variation. In particular, Energy Transport exhibited strong alignment with higher-order components (notably PC6), indicating that the geometry of trophic pathways varies largely independently of both network size and trophic integration. Basal Control showed weaker and more diffuse alignment across higher-order components, suggesting that variation in energy entry points and centrality represents a secondary structural dimension.</w:t>
      </w:r>
    </w:p>
    <w:p>
      <w:pPr>
        <w:pStyle w:val="BodyText"/>
      </w:pPr>
      <w:r>
        <w:t xml:space="preserve">A global permutation test confirmed that the observed alignment between modules and principal components was significantly stronger than expected under random assignment (</w:t>
      </w:r>
      <m:oMath>
        <m:r>
          <m:t>p</m:t>
        </m:r>
        <m:r>
          <m:rPr>
            <m:sty m:val="p"/>
          </m:rPr>
          <m:t>=</m:t>
        </m:r>
        <m:r>
          <m:t>0.006</m:t>
        </m:r>
      </m:oMath>
      <w:r>
        <w:t xml:space="preserve">), demonstrating that the modular structure captures meaningful geometric organisation in the multivariate space of network metrics</w:t>
      </w:r>
      <w:r>
        <w:t xml:space="preserve"> </w:t>
      </w:r>
      <w:hyperlink w:anchor="fig-alignment_signif">
        <w:r>
          <w:rPr>
            <w:rStyle w:val="Hyperlink"/>
          </w:rPr>
          <w:t xml:space="preserve">Figure 6</w:t>
        </w:r>
      </w:hyperlink>
      <w:r>
        <w:t xml:space="preserve">. Alignment was concentrated in a subset of principal components, indicating that modules map onto specific structural gradients rather than uniformly spanning the full space.</w:t>
      </w:r>
    </w:p>
    <w:tbl>
      <w:tblPr>
        <w:tblStyle w:val="Table"/>
        <w:tblW w:type="pct" w:w="5000"/>
        <w:tblLayout w:type="fixed"/>
        <w:tblLook w:firstRow="0" w:lastRow="0" w:firstColumn="0" w:lastColumn="0" w:noHBand="0" w:noVBand="0" w:val="0000"/>
      </w:tblPr>
      <w:tblGrid>
        <w:gridCol w:w="7920"/>
      </w:tblGrid>
      <w:tr>
        <w:tc>
          <w:tcPr/>
          <w:bookmarkStart w:id="46" w:name="fig-alignment_signif"/>
          <w:p>
            <w:pPr>
              <w:pStyle w:val="Compact"/>
              <w:jc w:val="center"/>
            </w:pPr>
            <w:r>
              <w:drawing>
                <wp:inline>
                  <wp:extent cx="5334000" cy="2667000"/>
                  <wp:effectExtent b="0" l="0" r="0" t="0"/>
                  <wp:docPr descr="" title="" id="44" name="Picture"/>
                  <a:graphic>
                    <a:graphicData uri="http://schemas.openxmlformats.org/drawingml/2006/picture">
                      <pic:pic>
                        <pic:nvPicPr>
                          <pic:cNvPr descr="figures/heatmap_zscores.png" id="45"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6"/>
        </w:tc>
      </w:tr>
    </w:tbl>
    <w:p>
      <w:pPr>
        <w:pStyle w:val="BodyText"/>
      </w:pPr>
      <w:r>
        <w:t xml:space="preserve">Collectively, these results demonstrate that food-web structure is organised along a small number of dominant, ecologically interpretable axes. A primary structural gradient reflects the interplay between network size and trophic integration, while secondary axes capture variation in control heterogeneity, trophic asymmetry, and energy transport geometry. This hierarchical organisation indicates that food-web architecture is governed by multiple, partially independent dimensions of structural variation.</w:t>
      </w:r>
    </w:p>
    <w:bookmarkEnd w:id="47"/>
    <w:bookmarkStart w:id="77" w:name="predictors-of-stability"/>
    <w:p>
      <w:pPr>
        <w:pStyle w:val="Heading2"/>
      </w:pPr>
      <w:r>
        <w:t xml:space="preserve">3.3 Predictors of stability</w:t>
      </w:r>
    </w:p>
    <w:bookmarkStart w:id="52" w:name="dimensional-reduction-characterisation"/>
    <w:p>
      <w:pPr>
        <w:pStyle w:val="Heading3"/>
      </w:pPr>
      <w:r>
        <w:t xml:space="preserve">3.3.1 Dimensional Reduction Characterisation</w:t>
      </w:r>
    </w:p>
    <w:tbl>
      <w:tblPr>
        <w:tblStyle w:val="Table"/>
        <w:tblW w:type="pct" w:w="5000"/>
        <w:tblLayout w:type="fixed"/>
        <w:tblLook w:firstRow="1" w:lastRow="0" w:firstColumn="0" w:lastColumn="0" w:noHBand="0" w:noVBand="0" w:val="0020"/>
      </w:tblPr>
      <w:tblGrid>
        <w:gridCol w:w="2132"/>
        <w:gridCol w:w="1624"/>
        <w:gridCol w:w="2030"/>
        <w:gridCol w:w="2132"/>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51" w:name="fig-dim_red"/>
          <w:p>
            <w:pPr>
              <w:pStyle w:val="Compact"/>
              <w:jc w:val="center"/>
            </w:pPr>
            <w:r>
              <w:drawing>
                <wp:inline>
                  <wp:extent cx="5334000" cy="6222999"/>
                  <wp:effectExtent b="0" l="0" r="0" t="0"/>
                  <wp:docPr descr="" title="" id="49" name="Picture"/>
                  <a:graphic>
                    <a:graphicData uri="http://schemas.openxmlformats.org/drawingml/2006/picture">
                      <pic:pic>
                        <pic:nvPicPr>
                          <pic:cNvPr descr="figures/fig_dimensional_reduction.png" id="50" name="Picture"/>
                          <pic:cNvPicPr>
                            <a:picLocks noChangeArrowheads="1" noChangeAspect="1"/>
                          </pic:cNvPicPr>
                        </pic:nvPicPr>
                        <pic:blipFill>
                          <a:blip r:embed="rId48"/>
                          <a:stretch>
                            <a:fillRect/>
                          </a:stretch>
                        </pic:blipFill>
                        <pic:spPr bwMode="auto">
                          <a:xfrm>
                            <a:off x="0" y="0"/>
                            <a:ext cx="5334000" cy="6222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51"/>
        </w:tc>
      </w:tr>
    </w:tbl>
    <w:bookmarkEnd w:id="52"/>
    <w:bookmarkStart w:id="67" w:name="Xc84dddb6d18a1e743db36dc7aa62f328aa8c858"/>
    <w:p>
      <w:pPr>
        <w:pStyle w:val="Heading3"/>
      </w:pPr>
      <w:r>
        <w:t xml:space="preserve">3.3.2 Predictive Performance Across Structural Representations</w:t>
      </w:r>
    </w:p>
    <w:bookmarkStart w:id="61" w:name="X7b50f5980f1a92178d840598f85f81221ca9fb6"/>
    <w:p>
      <w:pPr>
        <w:pStyle w:val="Heading4"/>
      </w:pPr>
      <w:r>
        <w:t xml:space="preserve">3.3.2.1 Predictor Importance and Structural Drivers</w:t>
      </w:r>
    </w:p>
    <w:p>
      <w:pPr>
        <w:pStyle w:val="FirstParagraph"/>
      </w:pPr>
      <w:r>
        <w:t xml:space="preserve">Across all stability components, elastic net regularisation revealed that structural predictors contributed differently depending on how network space was represented. The degree of regularisation (</w:t>
      </w:r>
      <m:oMath>
        <m:r>
          <m:t>α</m:t>
        </m:r>
      </m:oMath>
      <w:r>
        <w:t xml:space="preserve">,</w:t>
      </w:r>
      <w:r>
        <w:t xml:space="preserve"> </w:t>
      </w:r>
      <w:hyperlink w:anchor="fig-stab_alpha">
        <w:r>
          <w:rPr>
            <w:rStyle w:val="Hyperlink"/>
          </w:rPr>
          <w:t xml:space="preserve">Figure 8</w:t>
        </w:r>
      </w:hyperlink>
      <w:r>
        <w:t xml:space="preserve">) and the distribution of non-zero coefficients</w:t>
      </w:r>
      <w:r>
        <w:t xml:space="preserve"> </w:t>
      </w:r>
      <w:hyperlink w:anchor="fig-stab_corr">
        <w:r>
          <w:rPr>
            <w:rStyle w:val="Hyperlink"/>
          </w:rPr>
          <w:t xml:space="preserve">Figure 9</w:t>
        </w:r>
      </w:hyperlink>
      <w:r>
        <w:t xml:space="preserve"> </w:t>
      </w:r>
      <w:r>
        <w:t xml:space="preserve">varied systematically, indicating that structural abstraction alters which aspects of topology emerge as dominant drivers. Models based on fine-scale Cluster Dominant descriptors often reflected Distributed Control across correlated topological features, seen most clearly in the complexity (</w:t>
      </w:r>
      <m:oMath>
        <m:r>
          <m:t>α</m:t>
        </m:r>
        <m:r>
          <m:rPr>
            <m:sty m:val="p"/>
          </m:rPr>
          <m:t>=</m:t>
        </m:r>
        <m:r>
          <m:t>0</m:t>
        </m:r>
      </m:oMath>
      <w:r>
        <w:t xml:space="preserve">) and control (</w:t>
      </w:r>
      <m:oMath>
        <m:r>
          <m:t>α</m:t>
        </m:r>
        <m:r>
          <m:rPr>
            <m:sty m:val="p"/>
          </m:rPr>
          <m:t>=</m:t>
        </m:r>
        <m:r>
          <m:t>0</m:t>
        </m:r>
      </m:oMath>
      <w:r>
        <w:t xml:space="preserve">) models. In these instances, structural heterogeneity and connectivity descriptors jointly contributed to stability. By contrast, PC Dominant models tended to concentrate predictive weight onto a smaller subset of variables, frequently resulting in a Sparse architecture (</w:t>
      </w:r>
      <m:oMath>
        <m:r>
          <m:t>α</m:t>
        </m:r>
        <m:r>
          <m:rPr>
            <m:sty m:val="p"/>
          </m:rPr>
          <m:t>=</m:t>
        </m:r>
        <m:r>
          <m:t>1</m:t>
        </m:r>
      </m:oMath>
      <w:r>
        <w:t xml:space="preserve"> </w:t>
      </w:r>
      <w:r>
        <w:t xml:space="preserve">for robustness, ρ, and complexity). This suggests that dimensional compression isolates key structural bottlenecks, such as predpreyRatio or intermediate taxa proportions, which summarise broader variation. When modelled using PC Scores, structural influence collapsed onto dominant components, with PC1 or PC3 acting as the primary axes of influence.</w:t>
      </w:r>
    </w:p>
    <w:tbl>
      <w:tblPr>
        <w:tblStyle w:val="Table"/>
        <w:tblW w:type="pct" w:w="5000"/>
        <w:tblLayout w:type="fixed"/>
        <w:tblLook w:firstRow="0" w:lastRow="0" w:firstColumn="0" w:lastColumn="0" w:noHBand="0" w:noVBand="0" w:val="0000"/>
      </w:tblPr>
      <w:tblGrid>
        <w:gridCol w:w="7920"/>
      </w:tblGrid>
      <w:tr>
        <w:tc>
          <w:tcPr/>
          <w:bookmarkStart w:id="56" w:name="fig-stab_alpha"/>
          <w:p>
            <w:pPr>
              <w:pStyle w:val="Compact"/>
              <w:jc w:val="center"/>
            </w:pPr>
            <w:r>
              <w:drawing>
                <wp:inline>
                  <wp:extent cx="5334000" cy="3556000"/>
                  <wp:effectExtent b="0" l="0" r="0" t="0"/>
                  <wp:docPr descr="" title="" id="54" name="Picture"/>
                  <a:graphic>
                    <a:graphicData uri="http://schemas.openxmlformats.org/drawingml/2006/picture">
                      <pic:pic>
                        <pic:nvPicPr>
                          <pic:cNvPr descr="figures/stability_alpha.png" id="55" name="Picture"/>
                          <pic:cNvPicPr>
                            <a:picLocks noChangeArrowheads="1" noChangeAspect="1"/>
                          </pic:cNvPicPr>
                        </pic:nvPicPr>
                        <pic:blipFill>
                          <a:blip r:embed="rId5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The architecture of structural control across stability regimes. The elastic net mixing parameter (α) is plotted for each stability metric, categorised by structural representation. α values near 0 (Ridge-like) indicate Distributed Control, where stability is an emergent property of the entire network fabric. α values near 1 (Lasso-like) indicate Sparse Control, where stability is governed by a small number of specific structural bottlenecks. A dashed line at α=0.5 denotes the transition between sparse and distributed modelling regimes.</w:t>
            </w:r>
          </w:p>
          <w:bookmarkEnd w:id="5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stab_corr"/>
          <w:p>
            <w:pPr>
              <w:pStyle w:val="Compact"/>
              <w:jc w:val="center"/>
            </w:pPr>
            <w:r>
              <w:drawing>
                <wp:inline>
                  <wp:extent cx="5334000" cy="3556000"/>
                  <wp:effectExtent b="0" l="0" r="0" t="0"/>
                  <wp:docPr descr="" title="" id="58" name="Picture"/>
                  <a:graphic>
                    <a:graphicData uri="http://schemas.openxmlformats.org/drawingml/2006/picture">
                      <pic:pic>
                        <pic:nvPicPr>
                          <pic:cNvPr descr="figures/stability_estimate.png" id="59" name="Picture"/>
                          <pic:cNvPicPr>
                            <a:picLocks noChangeArrowheads="1" noChangeAspect="1"/>
                          </pic:cNvPicPr>
                        </pic:nvPicPr>
                        <pic:blipFill>
                          <a:blip r:embed="rId5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Standardised structural drivers of ecosystem stability. Lollipop plots display the standardised coefficients (estimates) for the top structural predictors across all stability metrics and representations. The magnitude of the point indicates the strength of the effect, while the position relative to the zero-intercept indicates a stabilising (positive) or destabilising (negative) influence. Plots are faceted by representation (rows) and stability metric (columns), with colours identifying the functional module of each structural driver.</w:t>
            </w:r>
          </w:p>
          <w:bookmarkEnd w:id="60"/>
        </w:tc>
      </w:tr>
    </w:tbl>
    <w:bookmarkEnd w:id="61"/>
    <w:bookmarkStart w:id="66" w:name="structural-drivers-of-stability"/>
    <w:p>
      <w:pPr>
        <w:pStyle w:val="Heading4"/>
      </w:pPr>
      <w:r>
        <w:t xml:space="preserve">3.3.2.2 Structural Drivers of Stability</w:t>
      </w:r>
    </w:p>
    <w:p>
      <w:pPr>
        <w:pStyle w:val="FirstParagraph"/>
      </w:pPr>
      <w:r>
        <w:t xml:space="preserve">Predictive performance (</w:t>
      </w:r>
      <m:oMath>
        <m:sSup>
          <m:e>
            <m:r>
              <m:t>R</m:t>
            </m:r>
          </m:e>
          <m:sup>
            <m:r>
              <m:t>2</m:t>
            </m:r>
          </m:sup>
        </m:sSup>
      </m:oMath>
      <w:r>
        <w:t xml:space="preserve">) differed substantially across stability components</w:t>
      </w:r>
      <w:r>
        <w:t xml:space="preserve"> </w:t>
      </w:r>
      <w:hyperlink w:anchor="fig-stab_var">
        <w:r>
          <w:rPr>
            <w:rStyle w:val="Hyperlink"/>
          </w:rPr>
          <w:t xml:space="preserve">Figure 10</w:t>
        </w:r>
      </w:hyperlink>
      <w:r>
        <w:t xml:space="preserve">, revealing how strongly each facet is encoded in static network architecture. Across all representations, ρ and control exhibited the strongest structural determination. ρ reached its highest cross-validated predictive performance (</w:t>
      </w:r>
      <m:oMath>
        <m:sSup>
          <m:e>
            <m:r>
              <m:t>R</m:t>
            </m:r>
          </m:e>
          <m:sup>
            <m:r>
              <m:t>2</m:t>
            </m:r>
          </m:sup>
        </m:sSup>
        <m:r>
          <m:rPr>
            <m:sty m:val="p"/>
          </m:rPr>
          <m:t>=</m:t>
        </m:r>
        <m:r>
          <m:t>0.723</m:t>
        </m:r>
      </m:oMath>
      <w:r>
        <w:t xml:space="preserve">) under the multivariate PC Score representation, driven primarily by PC1 (estimate = 0.653). Control showed even higher determination in the Cluster Dominant model (</w:t>
      </w:r>
      <m:oMath>
        <m:sSup>
          <m:e>
            <m:r>
              <m:t>R</m:t>
            </m:r>
          </m:e>
          <m:sup>
            <m:r>
              <m:t>2</m:t>
            </m:r>
          </m:sup>
        </m:sSup>
        <m:r>
          <m:rPr>
            <m:sty m:val="p"/>
          </m:rPr>
          <m:t>=</m:t>
        </m:r>
        <m:r>
          <m:t>0.760</m:t>
        </m:r>
      </m:oMath>
      <w:r>
        <w:t xml:space="preserve">), where GenSD emerged as a key distributed driver.</w:t>
      </w:r>
    </w:p>
    <w:p>
      <w:pPr>
        <w:pStyle w:val="BodyText"/>
      </w:pPr>
      <w:r>
        <w:t xml:space="preserve">Complexity showed intermediate structural predictability (</w:t>
      </w:r>
      <m:oMath>
        <m:sSup>
          <m:e>
            <m:r>
              <m:t>R</m:t>
            </m:r>
          </m:e>
          <m:sup>
            <m:r>
              <m:t>2</m:t>
            </m:r>
          </m:sup>
        </m:sSup>
        <m:r>
          <m:rPr>
            <m:sty m:val="p"/>
          </m:rPr>
          <m:t>=</m:t>
        </m:r>
        <m:r>
          <m:t>0.248</m:t>
        </m:r>
      </m:oMath>
      <w:r>
        <w:t xml:space="preserve">), performing best under PC Score abstraction. Conversely, Robustness exhibited the weakest structural predictability across all representations (</w:t>
      </w:r>
      <m:oMath>
        <m:sSubSup>
          <m:e>
            <m:r>
              <m:t>R</m:t>
            </m:r>
          </m:e>
          <m:sub>
            <m:r>
              <m:t>m</m:t>
            </m:r>
            <m:r>
              <m:t>a</m:t>
            </m:r>
            <m:r>
              <m:t>x</m:t>
            </m:r>
          </m:sub>
          <m:sup>
            <m:r>
              <m:t>2</m:t>
            </m:r>
          </m:sup>
        </m:sSubSup>
        <m:r>
          <m:rPr>
            <m:sty m:val="p"/>
          </m:rPr>
          <m:t>=</m:t>
        </m:r>
        <m:r>
          <m:t>0.181</m:t>
        </m:r>
      </m:oMath>
      <w:r>
        <w:t xml:space="preserve">). This pattern implies that robustness is not strongly determined by static topology alone and may depend on dynamical or context-dependent processes. Notably, the shift in</w:t>
      </w:r>
      <w:r>
        <w:t xml:space="preserve"> </w:t>
      </w:r>
      <m:oMath>
        <m:sSup>
          <m:e>
            <m:r>
              <m:t>R</m:t>
            </m:r>
          </m:e>
          <m:sup>
            <m:r>
              <m:t>2</m:t>
            </m:r>
          </m:sup>
        </m:sSup>
      </m:oMath>
      <w:r>
        <w:t xml:space="preserve"> </w:t>
      </w:r>
      <w:r>
        <w:t xml:space="preserve">across representations—such as ρ jumping from 0.262 in the PC Dominant model to 0.723 in the PC Score model—indicates that the apparent strength of structural control is contingent on the chosen structural lens.</w:t>
      </w:r>
    </w:p>
    <w:tbl>
      <w:tblPr>
        <w:tblStyle w:val="Table"/>
        <w:tblW w:type="pct" w:w="5000"/>
        <w:tblLayout w:type="fixed"/>
        <w:tblLook w:firstRow="0" w:lastRow="0" w:firstColumn="0" w:lastColumn="0" w:noHBand="0" w:noVBand="0" w:val="0000"/>
      </w:tblPr>
      <w:tblGrid>
        <w:gridCol w:w="7920"/>
      </w:tblGrid>
      <w:tr>
        <w:tc>
          <w:tcPr/>
          <w:bookmarkStart w:id="65" w:name="fig-stab_var"/>
          <w:p>
            <w:pPr>
              <w:pStyle w:val="Compact"/>
              <w:jc w:val="center"/>
            </w:pPr>
            <w:r>
              <w:drawing>
                <wp:inline>
                  <wp:extent cx="5334000" cy="3556000"/>
                  <wp:effectExtent b="0" l="0" r="0" t="0"/>
                  <wp:docPr descr="" title="" id="63" name="Picture"/>
                  <a:graphic>
                    <a:graphicData uri="http://schemas.openxmlformats.org/drawingml/2006/picture">
                      <pic:pic>
                        <pic:nvPicPr>
                          <pic:cNvPr descr="figures/stability_varianc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Structural partitioning of variance explained in ecosystem stability. Stacked bar charts represent the absolute variance (cross-validated R2) explained by different structural modules across four stability metrics: robustness, ρ, complexity, and control. Results are faceted by structural representation.</w:t>
            </w:r>
          </w:p>
          <w:bookmarkEnd w:id="65"/>
        </w:tc>
      </w:tr>
    </w:tbl>
    <w:bookmarkEnd w:id="66"/>
    <w:bookmarkEnd w:id="67"/>
    <w:bookmarkStart w:id="76" w:name="X73913e843a710c2fae54bf48cab233da110fa6d"/>
    <w:p>
      <w:pPr>
        <w:pStyle w:val="Heading3"/>
      </w:pPr>
      <w:r>
        <w:t xml:space="preserve">3.3.3 Differential Effects Across Stability Components</w:t>
      </w:r>
    </w:p>
    <w:p>
      <w:pPr>
        <w:pStyle w:val="FirstParagraph"/>
      </w:pPr>
      <w:r>
        <w:t xml:space="preserve">The relationship between network structure and stability was governed by different structural hierarchies. Complexity was characterised by a distributed or intermediate architecture in most representations, reflecting the cumulative effect of interacting features. In contrast, ρ displayed a strong alignment with coordinated multivariate axes, with the Trophic Integration module explaining a significant portion (30.2%) of the variance in the Cluster Dominant model.</w:t>
      </w:r>
    </w:p>
    <w:p>
      <w:pPr>
        <w:pStyle w:val="BodyText"/>
      </w:pPr>
      <w:r>
        <w:t xml:space="preserve">Control exhibited a uniquely representation-sensitive architecture: while the Cluster Dominant model suggested a Distributed regime (</w:t>
      </w:r>
      <m:oMath>
        <m:r>
          <m:t>α</m:t>
        </m:r>
        <m:r>
          <m:rPr>
            <m:sty m:val="p"/>
          </m:rPr>
          <m:t>=</m:t>
        </m:r>
        <m:r>
          <m:t>0</m:t>
        </m:r>
      </m:oMath>
      <w:r>
        <w:t xml:space="preserve">), the PC Score model favoured a Sparse regime (α=1). This indicates that while the structural signals for control are widespread (involving Trophic Role Asymmetry), they can be distilled into a single, high-leverage structural axis (PC1, estimate = -0.791). Finally, Robustness shifted towards Sparsity under PC abstraction, but its low</w:t>
      </w:r>
      <w:r>
        <w:t xml:space="preserve"> </w:t>
      </w:r>
      <m:oMath>
        <m:sSup>
          <m:e>
            <m:r>
              <m:t>R</m:t>
            </m:r>
          </m:e>
          <m:sup>
            <m:r>
              <m:t>2</m:t>
            </m:r>
          </m:sup>
        </m:sSup>
      </m:oMath>
      <w:r>
        <w:t xml:space="preserve"> </w:t>
      </w:r>
      <w:r>
        <w:t xml:space="preserve">suggests that even its bottleneck structural drivers (such as PC3) are only weak constraints on the system’s ability to withstand species loss.</w:t>
      </w:r>
    </w:p>
    <w:p>
      <w:pPr>
        <w:pStyle w:val="BodyText"/>
      </w:pPr>
      <w:r>
        <w:t xml:space="preserve">Collectively, these results demonstrate that stability components occupy distinct positions within structural space. Complexity is shaped by distributed fine-scale topology, ρ emerges from coordinated multivariate gradients, and robustness remains weakly constrained by static architecture. Rather than reflecting a single structural driver, ecosystem stability is organised along layered,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71" w:name="fig-stab_powercontrol"/>
          <w:p>
            <w:pPr>
              <w:pStyle w:val="Compact"/>
              <w:jc w:val="center"/>
            </w:pPr>
            <w:r>
              <w:drawing>
                <wp:inline>
                  <wp:extent cx="5334000" cy="4800600"/>
                  <wp:effectExtent b="0" l="0" r="0" t="0"/>
                  <wp:docPr descr="" title="" id="69" name="Picture"/>
                  <a:graphic>
                    <a:graphicData uri="http://schemas.openxmlformats.org/drawingml/2006/picture">
                      <pic:pic>
                        <pic:nvPicPr>
                          <pic:cNvPr descr="figures/stability_power_v_control.png" id="70" name="Picture"/>
                          <pic:cNvPicPr>
                            <a:picLocks noChangeArrowheads="1" noChangeAspect="1"/>
                          </pic:cNvPicPr>
                        </pic:nvPicPr>
                        <pic:blipFill>
                          <a:blip r:embed="rId68"/>
                          <a:stretch>
                            <a:fillRect/>
                          </a:stretch>
                        </pic:blipFill>
                        <pic:spPr bwMode="auto">
                          <a:xfrm>
                            <a:off x="0" y="0"/>
                            <a:ext cx="53340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Relationship between predictive power and structural sparsity. Predictive power (CV R2) is plotted against the sparsity index (α) for all stability metrics. Point size represents the contribution of the dominant structural module to the total variance explained. The horizontal axis identifies the control regime, ranging from Distributed Control (low α) to Sparse Control (high α). This visualisation reveals whether high predictive accuracy in ecosystem stability is a result of specific structural</w:t>
            </w:r>
            <w:r>
              <w:t xml:space="preserve"> </w:t>
            </w:r>
            <w:r>
              <w:t xml:space="preserve">“levers”</w:t>
            </w:r>
            <w:r>
              <w:t xml:space="preserve"> </w:t>
            </w:r>
            <w:r>
              <w:t xml:space="preserve">(top-right) or systemic, redundant configurations (top-left).</w:t>
            </w:r>
          </w:p>
          <w:bookmarkEnd w:id="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 w:name="fig-stab_pca"/>
          <w:p>
            <w:pPr>
              <w:pStyle w:val="Compact"/>
              <w:jc w:val="center"/>
            </w:pPr>
            <w:r>
              <w:drawing>
                <wp:inline>
                  <wp:extent cx="5334000" cy="3282461"/>
                  <wp:effectExtent b="0" l="0" r="0" t="0"/>
                  <wp:docPr descr="" title="" id="73" name="Picture"/>
                  <a:graphic>
                    <a:graphicData uri="http://schemas.openxmlformats.org/drawingml/2006/picture">
                      <pic:pic>
                        <pic:nvPicPr>
                          <pic:cNvPr descr="figures/multi_panel_pca_stability.png" id="74" name="Picture"/>
                          <pic:cNvPicPr>
                            <a:picLocks noChangeArrowheads="1" noChangeAspect="1"/>
                          </pic:cNvPicPr>
                        </pic:nvPicPr>
                        <pic:blipFill>
                          <a:blip r:embed="rId72"/>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A vibe but don’t know where it belongs</w:t>
            </w:r>
          </w:p>
          <w:bookmarkEnd w:id="75"/>
        </w:tc>
      </w:tr>
    </w:tbl>
    <w:bookmarkEnd w:id="76"/>
    <w:bookmarkEnd w:id="77"/>
    <w:bookmarkEnd w:id="78"/>
    <w:bookmarkStart w:id="85" w:name="discussion"/>
    <w:p>
      <w:pPr>
        <w:pStyle w:val="Heading1"/>
      </w:pPr>
      <w:r>
        <w:t xml:space="preserve">4. Discussion</w:t>
      </w:r>
    </w:p>
    <w:bookmarkStart w:id="79"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[REF], omnivory has been argued to stabilise or destabilise communities [REF], and measures of modularity, trophic organisation, or motif structure have each been proposed as key determinants of ecosystem dynamics [REF].</w:t>
      </w:r>
    </w:p>
    <w:p>
      <w:pPr>
        <w:pStyle w:val="BodyText"/>
      </w:pPr>
      <w:r>
        <w:t xml:space="preserve">Our results suggest that much of this inconsistency may arise from a conceptual simplification - network structure is rarely a single property. We demonstrate that food web structure exhibits strong modular organisation among commonly used network metrics</w:t>
      </w:r>
      <w:r>
        <w:t xml:space="preserve"> </w:t>
      </w:r>
      <w:hyperlink w:anchor="fig-cluster">
        <w:r>
          <w:rPr>
            <w:rStyle w:val="Hyperlink"/>
          </w:rPr>
          <w:t xml:space="preserve">Figure 1</w:t>
        </w:r>
      </w:hyperlink>
      <w:r>
        <w:t xml:space="preserve">, with structural descriptors grouped into seven statistically supported modules spanning macro-architectural complexity, trophic integration, routing geometry, and trophic imbalance. Instead, food-web architecture appears to be organised along several coherent dimensions of variation, with principal component analysis revealing that this high-dimensional set of metrics collapses onto a small number of dominant structural gradients</w:t>
      </w:r>
      <w:r>
        <w:t xml:space="preserve"> </w:t>
      </w:r>
      <w:hyperlink w:anchor="fig-pca">
        <w:r>
          <w:rPr>
            <w:rStyle w:val="Hyperlink"/>
          </w:rPr>
          <w:t xml:space="preserve">Figure 2</w:t>
        </w:r>
      </w:hyperlink>
      <w:r>
        <w:t xml:space="preserve">, </w:t>
      </w:r>
      <w:hyperlink w:anchor="fig-variance">
        <w:r>
          <w:rPr>
            <w:rStyle w:val="Hyperlink"/>
          </w:rPr>
          <w:t xml:space="preserve">Figure 5</w:t>
        </w:r>
      </w:hyperlink>
      <w:r>
        <w:t xml:space="preserve">, </w:t>
      </w:r>
      <w:hyperlink w:anchor="fig-alignment_heatmap">
        <w:r>
          <w:rPr>
            <w:rStyle w:val="Hyperlink"/>
          </w:rPr>
          <w:t xml:space="preserve">Figure 3</w:t>
        </w:r>
      </w:hyperlink>
      <w:r>
        <w:t xml:space="preserve">. Importantly, the independently identified structural modules align non-randomly with these principal gradients, indicating that the modular decomposition captures real axes of ecological variation rather than statistical artifacts. This suggests that the structural metrics commonly used in ecological studies do not behave as independent descriptors, nor do they represent interchangeable proxies for a single structural attribute, but rather that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bookmarkEnd w:id="79"/>
    <w:bookmarkStart w:id="80" w:name="Xd199b945fba93f9ce417f6a20f76855707f67be"/>
    <w:p>
      <w:pPr>
        <w:pStyle w:val="Heading2"/>
      </w:pPr>
      <w:r>
        <w:t xml:space="preserve">4.2 Structural modules reveal dimensions of network architecture</w:t>
      </w:r>
    </w:p>
    <w:p>
      <w:pPr>
        <w:pStyle w:val="FirstParagraph"/>
      </w:pPr>
      <w:r>
        <w:t xml:space="preserve">The clustering analysis revealed several consistent structural domains within food-web architecture</w:t>
      </w:r>
      <w:r>
        <w:t xml:space="preserve"> </w:t>
      </w:r>
      <w:hyperlink w:anchor="tbl-modules">
        <w:r>
          <w:rPr>
            <w:rStyle w:val="Hyperlink"/>
          </w:rPr>
          <w:t xml:space="preserve">Table 2</w:t>
        </w:r>
      </w:hyperlink>
      <w:r>
        <w:t xml:space="preserve">. The largest module captured macro-architectural expansion, combining species richness, interaction density, motif frequencies, and intervality. Because these metrics scale together as networks grow, this module reflects the combinatorial growth of interaction space with increasing species richness. In contrast, trophic integration metrics—including connectance, omnivory, trophic level, and clustering—formed a distinct module capturing how tightly energy pathways are embedded across trophic levels.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80"/>
    <w:bookmarkStart w:id="81" w:name="Xfd2dce720bd965429cda5bca869101a9a40bbce"/>
    <w:p>
      <w:pPr>
        <w:pStyle w:val="Heading2"/>
      </w:pPr>
      <w:r>
        <w:t xml:space="preserve">4.3 Structural domains and the mechanisms of stability</w:t>
      </w:r>
    </w:p>
    <w:p>
      <w:pPr>
        <w:pStyle w:val="FirstParagraph"/>
      </w:pPr>
      <w:r>
        <w:t xml:space="preserve">Understanding how ecological networks maintain stability under perturbations has long been a central question in ecology. Classic theory suggested that increasing complexity (measured as the number of species and interactions) should destabilise communities, because more densely connected networks provide more pathways for perturbations to propagate</w:t>
      </w:r>
      <w:r>
        <w:t xml:space="preserve"> </w:t>
      </w:r>
      <w:r>
        <w:t xml:space="preserve">(May 1972)</w:t>
      </w:r>
      <w:r>
        <w:t xml:space="preserve">. However, empirical and theoretical work over the past decades has revealed that this relationship is far from simple - weak interactions, trophic structure, and functional redundancy can buffer communities against instability, creating a landscape where structure and stability interact in nuanced ways</w:t>
      </w:r>
      <w:r>
        <w:t xml:space="preserve"> </w:t>
      </w:r>
      <w:r>
        <w:t xml:space="preserve">(McCann et al. 1998; Montoya et al. 2006)</w:t>
      </w:r>
      <w:r>
        <w:t xml:space="preserve">.</w:t>
      </w:r>
    </w:p>
    <w:p>
      <w:pPr>
        <w:pStyle w:val="BodyText"/>
      </w:pPr>
      <w:r>
        <w:t xml:space="preserve">Our analysis demonstrates that this apparent paradox can be partially resolved by viewing networks through a modular lens. Rather than treating structural variation as a single, monolithic axis, we find that ecological networks contain multiple, relatively independent modules, each capturing distinct aspects of architecture such as community-level complexity, trophic integration, energy transport pathways, trophic role asymmetry, and functional redundancy. Each module influences a different facet of stability, meaning that simple correlations between overall structure and stability are often misleading.</w:t>
      </w:r>
    </w:p>
    <w:p>
      <w:pPr>
        <w:pStyle w:val="BodyText"/>
      </w:pPr>
      <w:r>
        <w:t xml:space="preserve">Robustness to species loss is most strongly linked to modules capturing redundancy and trophic similarity. When species share similar roles or consume overlapping resources, losses in one species can be partially compensated by others, mitigating cascade effects</w:t>
      </w:r>
      <w:r>
        <w:t xml:space="preserve"> </w:t>
      </w:r>
      <w:r>
        <w:t xml:space="preserve">(Walker 1992; Montoya et al. 2006)</w:t>
      </w:r>
      <w:r>
        <w:t xml:space="preserve">. This aligns with classical work on the insurance effect of biodiversity where functional overlap buffers networks against perturbations, allowing ecosystems to maintain structural integrity despite the removal of species.</w:t>
      </w:r>
    </w:p>
    <w:p>
      <w:pPr>
        <w:pStyle w:val="BodyText"/>
      </w:pPr>
      <w:r>
        <w:t xml:space="preserve">Dynamical stability, quantified via measures such as the spectral radius, is instead influenced by modules related to community size, interaction density, and trophic integration. Macro-architectural complexity (species richness, motif diversity, and network path lengths) determines how perturbations can propagate across the network, while dense trophic integration and omnivory redistribute interaction strengths, dampening oscillations</w:t>
      </w:r>
      <w:r>
        <w:t xml:space="preserve"> </w:t>
      </w:r>
      <w:r>
        <w:t xml:space="preserve">(Polis and Strong 1996; McCann and Hastings 1997; Emmerson and Yearsley 2004)</w:t>
      </w:r>
      <w:r>
        <w:t xml:space="preserve">. Together, these modules explain why some high-connectance networks remain surprisingly stable - stability is not determined solely by complexity but by how interactions are organised.</w:t>
      </w:r>
    </w:p>
    <w:p>
      <w:pPr>
        <w:pStyle w:val="BodyText"/>
      </w:pPr>
      <w:r>
        <w:t xml:space="preserve">Control and regulatory capacity, the ability to steer network dynamics, emerges from asymmetries in trophic roles and predation pressures. Networks where certain species occupy dominant positions (either as keystone predators or central energy conduits) exhibit higher sensitivity to targeted perturbations but can also be more controllable if these nodes are managed appropriately</w:t>
      </w:r>
      <w:r>
        <w:t xml:space="preserve"> </w:t>
      </w:r>
      <w:r>
        <w:t xml:space="preserve">(Cowan et al. 2012)</w:t>
      </w:r>
      <w:r>
        <w:t xml:space="preserve">. Classical food web theory emphasizes the disproportionate influence of such asymmetries on dynamics</w:t>
      </w:r>
      <w:r>
        <w:t xml:space="preserve"> </w:t>
      </w:r>
      <w:r>
        <w:t xml:space="preserve">(Polis and Strong 1996)</w:t>
      </w:r>
      <w:r>
        <w:t xml:space="preserve">, which is consistent with our finding that modules capturing role heterogeneity strongly predict control-related stability metrics.</w:t>
      </w:r>
    </w:p>
    <w:p>
      <w:pPr>
        <w:pStyle w:val="BodyText"/>
      </w:pPr>
      <w:r>
        <w:t xml:space="preserve">Taken together, these results suggest that stability is inherently multidimensional. Different components of network stability (robustness, dynamical resilience, and controllability) respond to different structural features. A modular perspective provides a mechanistic framework for understanding these relationships and reconciling conflicting results in the literature. Networks are not simply more or less stable as a function of overall complexity; rather, stability emerges from the interplay of multiple, semi-independent structural modules, each shaping how perturbations propagate, dissipate, or are buffered within the system.</w:t>
      </w:r>
    </w:p>
    <w:p>
      <w:pPr>
        <w:pStyle w:val="BlockText"/>
      </w:pPr>
      <w:r>
        <w:t xml:space="preserve">When network structure is summarised using principal components, the ecological interpretation becomes less clear. While PCA axes capture dominant gradients of network variation and are often associated with specific modules, each axis typically integrates signals from multiple structural domains. Because different components of stability respond to different modules, this mixing can obscure mechanistic interpretation. This might be due to how different stability components respond to different structural modules, so global axes may conflate independent effects.</w:t>
      </w:r>
    </w:p>
    <w:bookmarkEnd w:id="81"/>
    <w:bookmarkStart w:id="82" w:name="Xad7d45b1333a2fd236e1c6c9a9acd7bd855f2b7"/>
    <w:p>
      <w:pPr>
        <w:pStyle w:val="Heading2"/>
      </w:pPr>
      <w:r>
        <w:t xml:space="preserve">4.4 Reinterpreting the structure–stability debate</w:t>
      </w:r>
    </w:p>
    <w:p>
      <w:pPr>
        <w:pStyle w:val="FirstParagraph"/>
      </w:pPr>
      <w:r>
        <w:t xml:space="preserve">The multidimensional nature of ecological network structure has profound implications for how stability relationships are interpreted. Historically, debates over the structure–stability relationship have often implicitly treated network structure as a single explanatory variable, with studies focusing on one or a small set of metrics to predict a particular stability outcome (ADD EGs</w:t>
      </w:r>
      <w:r>
        <w:t xml:space="preserve"> </w:t>
      </w:r>
      <w:r>
        <w:t xml:space="preserve">May (1972)</w:t>
      </w:r>
      <w:r>
        <w:t xml:space="preserve">). However, structural descriptors capture distinct architectural dimensions—such as modularity, trophic integration, energy pathway geometry, and interaction heterogeneity—so analyses based on single metrics may effectively sample different slices of structural space.</w:t>
      </w:r>
    </w:p>
    <w:p>
      <w:pPr>
        <w:pStyle w:val="BodyText"/>
      </w:pPr>
      <w:r>
        <w:t xml:space="preserve">Our results support this multidimensional interpretation. Different stability components responded to different structural representations and levels of abstraction. Spectral radius (</w:t>
      </w:r>
      <m:oMath>
        <m:r>
          <m:t>ρ</m:t>
        </m:r>
      </m:oMath>
      <w:r>
        <w:t xml:space="preserve">), reflecting overall equilibrium stability, was most strongly determined by broad-scale structure and was best predicted using PCA-derived axes, which capture integrated gradients of connectivity and interaction strength across the network. Complexity, by contrast, was most predictable from fine-scale, module-level descriptors, suggesting distributed contributions from multiple topological features. Robustness to species loss exhibited comparatively weak structural determination across representations, consistent with the idea that functional redundancy and compensatory dynamics play a central role in buffering species extinctions</w:t>
      </w:r>
      <w:r>
        <w:t xml:space="preserve"> </w:t>
      </w:r>
      <w:r>
        <w:t xml:space="preserve">(Walker 1992; Montoya et al. 2006)</w:t>
      </w:r>
      <w:r>
        <w:t xml:space="preserve">.</w:t>
      </w:r>
    </w:p>
    <w:p>
      <w:pPr>
        <w:pStyle w:val="BodyText"/>
      </w:pPr>
      <w:r>
        <w:t xml:space="preserve">These findings help reconcile apparently conflicting conclusions in the historical literature. Classical theory emphasising global connectivity and interaction density predicted that increasing complexity should destabilise ecosystems</w:t>
      </w:r>
      <w:r>
        <w:t xml:space="preserve"> </w:t>
      </w:r>
      <w:r>
        <w:t xml:space="preserve">(May 1972)</w:t>
      </w:r>
      <w:r>
        <w:t xml:space="preserve">, while subsequent work highlighted the stabilising role of weak interactions, omnivory, and structured energy pathways</w:t>
      </w:r>
      <w:r>
        <w:t xml:space="preserve"> </w:t>
      </w:r>
      <w:r>
        <w:t xml:space="preserve">(McCann et al. 1998; Emmerson and Yearsley 2004)</w:t>
      </w:r>
      <w:r>
        <w:t xml:space="preserve">. Because these architectural domains (trophic integration, pathway geometry, interaction heterogeneity) vary independently in real networks, different studies may observe contrasting stability relationships even when examining similar ecosystems</w:t>
      </w:r>
      <w:r>
        <w:t xml:space="preserve"> </w:t>
      </w:r>
      <w:r>
        <w:t xml:space="preserve">(Thébault and Fontaine 2010; Johnson et al. 2014)</w:t>
      </w:r>
      <w:r>
        <w:t xml:space="preserve">.</w:t>
      </w:r>
    </w:p>
    <w:p>
      <w:pPr>
        <w:pStyle w:val="BodyText"/>
      </w:pPr>
      <w:r>
        <w:t xml:space="preserve">Rather than asking which structural metric best predicts stability, a more productive framing is to ask which dimension of network architecture is relevant to each stability mechanism. Spectral radius may be sensitive to global connectivity and the distribution of interaction strengths</w:t>
      </w:r>
      <w:r>
        <w:t xml:space="preserve"> </w:t>
      </w:r>
      <w:r>
        <w:t xml:space="preserve">(Rooney et al. 2006)</w:t>
      </w:r>
      <w:r>
        <w:t xml:space="preserve">, whereas complexity depends on distributed contributions from multiple modules, including macro-architectural complexity and trophic role asymmetry. Under this perspective, apparently contradictory results across empirical and theoretical studies become less surprising. Metrics emphasising connectance or omnivory may reflect variation in trophic integration, while metrics describing motifs or energy pathways capture macro-architectural or pathway-specific effects. Each structural domain shapes stability through distinct ecological mechanisms, and stability itself is inherently multidimensional, encompassing equilibrium persistence, resistance to disturbance, and the reorganization of interaction pathways following perturbations. Our results highlight the need to explicitly consider both structural modularity and the specific components of stability under study when interpreting structure–stability relationships.</w:t>
      </w:r>
    </w:p>
    <w:bookmarkEnd w:id="82"/>
    <w:bookmarkStart w:id="83" w:name="X815e10819c719fd889b2df0b0165ed3bc35efe2"/>
    <w:p>
      <w:pPr>
        <w:pStyle w:val="Heading2"/>
      </w:pPr>
      <w:r>
        <w:t xml:space="preserve">4.5 Implications for the design of network analyses</w:t>
      </w:r>
    </w:p>
    <w:p>
      <w:pPr>
        <w:pStyle w:val="FirstParagraph"/>
      </w:pPr>
      <w:r>
        <w:t xml:space="preserve">Our comparison of alternative structural representations highlights the consequences of dimensional reduction choices. Domain-based medoid representations preserved moderate structural variance while maintaining ecological interpretability, whereas selecting a single metric per principal component retained only a small fraction of total structural information. By contrast, multivariate PC scores preserved most structural variance but abstracted away from direct ecological interpretation. These results indicate that methodological choices about how network structure is summarised can substantially alter inference about stability drivers.</w:t>
      </w:r>
    </w:p>
    <w:p>
      <w:pPr>
        <w:pStyle w:val="BodyText"/>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83"/>
    <w:bookmarkStart w:id="84" w:name="X52687e34ca02f886d47f2b738d6800472257c16"/>
    <w:p>
      <w:pPr>
        <w:pStyle w:val="Heading2"/>
      </w:pPr>
      <w:r>
        <w:t xml:space="preserve">4.6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84"/>
    <w:bookmarkEnd w:id="85"/>
    <w:bookmarkStart w:id="86"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86"/>
    <w:bookmarkStart w:id="163" w:name="references"/>
    <w:p>
      <w:pPr>
        <w:pStyle w:val="Heading1"/>
      </w:pPr>
      <w:r>
        <w:t xml:space="preserve">References</w:t>
      </w:r>
    </w:p>
    <w:bookmarkStart w:id="162" w:name="refs"/>
    <w:bookmarkStart w:id="88" w:name="ref-allesinaStabilityCriteriaComplex2012"/>
    <w:p>
      <w:pPr>
        <w:pStyle w:val="Bibliography"/>
      </w:pPr>
      <w:r>
        <w:t xml:space="preserve">Allesina, S., and S. Tang. 2012.</w:t>
      </w:r>
      <w:r>
        <w:t xml:space="preserve"> </w:t>
      </w:r>
      <w:hyperlink r:id="rId87">
        <w:r>
          <w:rPr>
            <w:rStyle w:val="Hyperlink"/>
          </w:rPr>
          <w:t xml:space="preserve">Stability criteria for complex ecosystems</w:t>
        </w:r>
      </w:hyperlink>
      <w:r>
        <w:t xml:space="preserve">. Nature 483:205–208.</w:t>
      </w:r>
    </w:p>
    <w:bookmarkEnd w:id="88"/>
    <w:bookmarkStart w:id="90" w:name="Xf46d66f38296066c1100d9812a6303bc71ed153"/>
    <w:p>
      <w:pPr>
        <w:pStyle w:val="Bibliography"/>
      </w:pPr>
      <w:r>
        <w:t xml:space="preserve">Bascompte, J., P. Jordano, C. J. Melian, and J. M. Olesen. 2003.</w:t>
      </w:r>
      <w:r>
        <w:t xml:space="preserve"> </w:t>
      </w:r>
      <w:hyperlink r:id="rId89">
        <w:r>
          <w:rPr>
            <w:rStyle w:val="Hyperlink"/>
          </w:rPr>
          <w:t xml:space="preserve">The nested assembly of plant-animal mutualistic networks</w:t>
        </w:r>
      </w:hyperlink>
      <w:r>
        <w:t xml:space="preserve">. Proceedings of the National Academy of Sciences 100:9383–9387.</w:t>
      </w:r>
    </w:p>
    <w:bookmarkEnd w:id="90"/>
    <w:bookmarkStart w:id="92" w:name="ref-cowanNodalDynamicsNot2012"/>
    <w:p>
      <w:pPr>
        <w:pStyle w:val="Bibliography"/>
      </w:pPr>
      <w:r>
        <w:t xml:space="preserve">Cowan, N. J., E. J. Chastain, D. A. Vilhena, J. S. Freudenberg, and C. T. Bergstrom. 2012.</w:t>
      </w:r>
      <w:r>
        <w:t xml:space="preserve"> </w:t>
      </w:r>
      <w:hyperlink r:id="rId91">
        <w:r>
          <w:rPr>
            <w:rStyle w:val="Hyperlink"/>
          </w:rPr>
          <w:t xml:space="preserve">Nodal</w:t>
        </w:r>
        <w:r>
          <w:rPr>
            <w:rStyle w:val="Hyperlink"/>
          </w:rPr>
          <w:t xml:space="preserve"> </w:t>
        </w:r>
        <w:r>
          <w:rPr>
            <w:rStyle w:val="Hyperlink"/>
          </w:rPr>
          <w:t xml:space="preserve">Dynamics</w:t>
        </w:r>
        <w:r>
          <w:rPr>
            <w:rStyle w:val="Hyperlink"/>
          </w:rPr>
          <w:t xml:space="preserve">,</w:t>
        </w:r>
        <w:r>
          <w:rPr>
            <w:rStyle w:val="Hyperlink"/>
          </w:rPr>
          <w:t xml:space="preserve"> </w:t>
        </w:r>
        <w:r>
          <w:rPr>
            <w:rStyle w:val="Hyperlink"/>
          </w:rPr>
          <w:t xml:space="preserve">Not Degree Distributions</w:t>
        </w:r>
        <w:r>
          <w:rPr>
            <w:rStyle w:val="Hyperlink"/>
          </w:rPr>
          <w:t xml:space="preserve">,</w:t>
        </w:r>
        <w:r>
          <w:rPr>
            <w:rStyle w:val="Hyperlink"/>
          </w:rPr>
          <w:t xml:space="preserve"> </w:t>
        </w:r>
        <w:r>
          <w:rPr>
            <w:rStyle w:val="Hyperlink"/>
          </w:rPr>
          <w:t xml:space="preserve">Determine</w:t>
        </w:r>
        <w:r>
          <w:rPr>
            <w:rStyle w:val="Hyperlink"/>
          </w:rPr>
          <w:t xml:space="preserve"> </w:t>
        </w:r>
        <w:r>
          <w:rPr>
            <w:rStyle w:val="Hyperlink"/>
          </w:rPr>
          <w:t xml:space="preserve">the</w:t>
        </w:r>
        <w:r>
          <w:rPr>
            <w:rStyle w:val="Hyperlink"/>
          </w:rPr>
          <w:t xml:space="preserve"> </w:t>
        </w:r>
        <w:r>
          <w:rPr>
            <w:rStyle w:val="Hyperlink"/>
          </w:rPr>
          <w:t xml:space="preserve">Structural Controllability</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 PLOS ONE 7:e38398.</w:t>
      </w:r>
    </w:p>
    <w:bookmarkEnd w:id="92"/>
    <w:bookmarkStart w:id="94" w:name="X53bbcf1fe81256a437abb45e6ad19d3e8c56690"/>
    <w:p>
      <w:pPr>
        <w:pStyle w:val="Bibliography"/>
      </w:pPr>
      <w:r>
        <w:t xml:space="preserve">Domínguez-García, V., V. Dakos, and S. Kéfi. 2019.</w:t>
      </w:r>
      <w:r>
        <w:t xml:space="preserve"> </w:t>
      </w:r>
      <w:hyperlink r:id="rId93">
        <w:r>
          <w:rPr>
            <w:rStyle w:val="Hyperlink"/>
          </w:rPr>
          <w:t xml:space="preserve">Unveiling dimensions of stability in complex ecological networks</w:t>
        </w:r>
      </w:hyperlink>
      <w:r>
        <w:t xml:space="preserve">. Proceedings of the National Academy of Sciences 116:25714–25720.</w:t>
      </w:r>
    </w:p>
    <w:bookmarkEnd w:id="94"/>
    <w:bookmarkStart w:id="96" w:name="Xfd5cd263feda56825410424069250bdf3ea5215"/>
    <w:p>
      <w:pPr>
        <w:pStyle w:val="Bibliography"/>
      </w:pPr>
      <w:r>
        <w:t xml:space="preserve">Donohue, I., H. Hillebrand, J. M. Montoya, O. L. Petchey, S. L. Pimm, M. S. Fowler, K. Healy, et al. 2016.</w:t>
      </w:r>
      <w:r>
        <w:t xml:space="preserve"> </w:t>
      </w:r>
      <w:hyperlink r:id="rId95">
        <w:r>
          <w:rPr>
            <w:rStyle w:val="Hyperlink"/>
          </w:rPr>
          <w:t xml:space="preserve">Navigating the complexity of ecological stability</w:t>
        </w:r>
      </w:hyperlink>
      <w:r>
        <w:t xml:space="preserve">. Ecology Letters 19:1172–1185.</w:t>
      </w:r>
    </w:p>
    <w:bookmarkEnd w:id="96"/>
    <w:bookmarkStart w:id="97" w:name="X6a748f2c18be5d40b86306295ddf535fd2774da"/>
    <w:p>
      <w:pPr>
        <w:pStyle w:val="Bibliography"/>
      </w:pPr>
      <w:r>
        <w:t xml:space="preserve">Dunne, J., R. J. Williams, and N. D. Martinez. 2002. Network structure and biodiversity loss in food webs: Robustness increases with connectance. Ecol. Lett. 5:558–567.</w:t>
      </w:r>
    </w:p>
    <w:bookmarkEnd w:id="97"/>
    <w:bookmarkStart w:id="99" w:name="ref-emmersonWeakInteractionsOmnivory2004"/>
    <w:p>
      <w:pPr>
        <w:pStyle w:val="Bibliography"/>
      </w:pPr>
      <w:r>
        <w:t xml:space="preserve">Emmerson, M., and J. M. Yearsley. 2004.</w:t>
      </w:r>
      <w:r>
        <w:t xml:space="preserve"> </w:t>
      </w:r>
      <w:hyperlink r:id="rId98">
        <w:r>
          <w:rPr>
            <w:rStyle w:val="Hyperlink"/>
          </w:rPr>
          <w:t xml:space="preserve">Weak</w:t>
        </w:r>
        <w:r>
          <w:rPr>
            <w:rStyle w:val="Hyperlink"/>
          </w:rPr>
          <w:t xml:space="preserve"> </w:t>
        </w:r>
        <w:r>
          <w:rPr>
            <w:rStyle w:val="Hyperlink"/>
          </w:rPr>
          <w:t xml:space="preserve">Interactions</w:t>
        </w:r>
        <w:r>
          <w:rPr>
            <w:rStyle w:val="Hyperlink"/>
          </w:rPr>
          <w:t xml:space="preserve">,</w:t>
        </w:r>
        <w:r>
          <w:rPr>
            <w:rStyle w:val="Hyperlink"/>
          </w:rPr>
          <w:t xml:space="preserve"> </w:t>
        </w:r>
        <w:r>
          <w:rPr>
            <w:rStyle w:val="Hyperlink"/>
          </w:rPr>
          <w:t xml:space="preserve">Omnivory</w:t>
        </w:r>
        <w:r>
          <w:rPr>
            <w:rStyle w:val="Hyperlink"/>
          </w:rPr>
          <w:t xml:space="preserve"> </w:t>
        </w:r>
        <w:r>
          <w:rPr>
            <w:rStyle w:val="Hyperlink"/>
          </w:rPr>
          <w:t xml:space="preserve">and</w:t>
        </w:r>
        <w:r>
          <w:rPr>
            <w:rStyle w:val="Hyperlink"/>
          </w:rPr>
          <w:t xml:space="preserve"> </w:t>
        </w:r>
        <w:r>
          <w:rPr>
            <w:rStyle w:val="Hyperlink"/>
          </w:rPr>
          <w:t xml:space="preserve">Emergent Food-Web Properties</w:t>
        </w:r>
      </w:hyperlink>
      <w:r>
        <w:t xml:space="preserve">. Proceedings: Biological Sciences 271:397–405.</w:t>
      </w:r>
    </w:p>
    <w:bookmarkEnd w:id="99"/>
    <w:bookmarkStart w:id="101" w:name="ref-estradaUsingNetworkCentrality2008"/>
    <w:p>
      <w:pPr>
        <w:pStyle w:val="Bibliography"/>
      </w:pPr>
      <w:r>
        <w:t xml:space="preserve">Estrada, E., and Ö. Bodin. 2008.</w:t>
      </w:r>
      <w:r>
        <w:t xml:space="preserve"> </w:t>
      </w:r>
      <w:hyperlink r:id="rId100">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 Ecological Applications 18:1810–1825.</w:t>
      </w:r>
    </w:p>
    <w:bookmarkEnd w:id="101"/>
    <w:bookmarkStart w:id="103" w:name="ref-fortunaWebLife2014"/>
    <w:p>
      <w:pPr>
        <w:pStyle w:val="Bibliography"/>
      </w:pPr>
      <w:r>
        <w:t xml:space="preserve">Fortuna, M. A., R. Ortega, and J. Bascompte. 2014.</w:t>
      </w:r>
      <w:r>
        <w:t xml:space="preserve"> </w:t>
      </w:r>
      <w:hyperlink r:id="rId102">
        <w:r>
          <w:rPr>
            <w:rStyle w:val="Hyperlink"/>
          </w:rPr>
          <w:t xml:space="preserve">The</w:t>
        </w:r>
        <w:r>
          <w:rPr>
            <w:rStyle w:val="Hyperlink"/>
          </w:rPr>
          <w:t xml:space="preserve"> </w:t>
        </w:r>
        <w:r>
          <w:rPr>
            <w:rStyle w:val="Hyperlink"/>
          </w:rPr>
          <w:t xml:space="preserve">Web</w:t>
        </w:r>
        <w:r>
          <w:rPr>
            <w:rStyle w:val="Hyperlink"/>
          </w:rPr>
          <w:t xml:space="preserve"> </w:t>
        </w:r>
        <w:r>
          <w:rPr>
            <w:rStyle w:val="Hyperlink"/>
          </w:rPr>
          <w:t xml:space="preserve">of</w:t>
        </w:r>
        <w:r>
          <w:rPr>
            <w:rStyle w:val="Hyperlink"/>
          </w:rPr>
          <w:t xml:space="preserve"> </w:t>
        </w:r>
        <w:r>
          <w:rPr>
            <w:rStyle w:val="Hyperlink"/>
          </w:rPr>
          <w:t xml:space="preserve">Life</w:t>
        </w:r>
      </w:hyperlink>
      <w:r>
        <w:t xml:space="preserve">.</w:t>
      </w:r>
    </w:p>
    <w:bookmarkEnd w:id="103"/>
    <w:bookmarkStart w:id="105" w:name="ref-ivesStabilityDiversityEcosystems2007"/>
    <w:p>
      <w:pPr>
        <w:pStyle w:val="Bibliography"/>
      </w:pPr>
      <w:r>
        <w:t xml:space="preserve">Ives, A. R., and S. R. Carpenter. 2007.</w:t>
      </w:r>
      <w:r>
        <w:t xml:space="preserve"> </w:t>
      </w:r>
      <w:hyperlink r:id="rId104">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 Science 317:58–62.</w:t>
      </w:r>
    </w:p>
    <w:bookmarkEnd w:id="105"/>
    <w:bookmarkStart w:id="107" w:name="X9080a016089356b1a0b4c4dffa0eb84c7c7baaa"/>
    <w:p>
      <w:pPr>
        <w:pStyle w:val="Bibliography"/>
      </w:pPr>
      <w:r>
        <w:t xml:space="preserve">Johnson, S., V. Domínguez-García, L. Donetti, and M. A. Muñoz. 2014.</w:t>
      </w:r>
      <w:r>
        <w:t xml:space="preserve"> </w:t>
      </w:r>
      <w:hyperlink r:id="rId106">
        <w:r>
          <w:rPr>
            <w:rStyle w:val="Hyperlink"/>
          </w:rPr>
          <w:t xml:space="preserve">Trophic coherence determines food-web stability</w:t>
        </w:r>
      </w:hyperlink>
      <w:r>
        <w:t xml:space="preserve">. Proceedings of the National Academy of Sciences 111:17923–17928.</w:t>
      </w:r>
    </w:p>
    <w:bookmarkEnd w:id="107"/>
    <w:bookmarkStart w:id="109" w:name="ref-lauEcologicalNetworkMetrics2017"/>
    <w:p>
      <w:pPr>
        <w:pStyle w:val="Bibliography"/>
      </w:pPr>
      <w:r>
        <w:t xml:space="preserve">Lau, M. K., S. R. Borrett, B. Baiser, N. J. Gotelli, and A. M. Ellison. 2017.</w:t>
      </w:r>
      <w:r>
        <w:t xml:space="preserve"> </w:t>
      </w:r>
      <w:hyperlink r:id="rId108">
        <w:r>
          <w:rPr>
            <w:rStyle w:val="Hyperlink"/>
          </w:rPr>
          <w:t xml:space="preserve">Ecological network metrics: Opportunities for synthesis</w:t>
        </w:r>
      </w:hyperlink>
      <w:r>
        <w:t xml:space="preserve">. Ecosphere 8:e01900.</w:t>
      </w:r>
    </w:p>
    <w:bookmarkEnd w:id="109"/>
    <w:bookmarkStart w:id="111" w:name="Xafca52a5b72d6982fa110bedd3fd93e9c36b448"/>
    <w:p>
      <w:pPr>
        <w:pStyle w:val="Bibliography"/>
      </w:pPr>
      <w:r>
        <w:t xml:space="preserve">Liu, Y.-Y., J.-J. Slotine, and A.-L. Barabási. 2011.</w:t>
      </w:r>
      <w:r>
        <w:t xml:space="preserve"> </w:t>
      </w:r>
      <w:hyperlink r:id="rId110">
        <w:r>
          <w:rPr>
            <w:rStyle w:val="Hyperlink"/>
          </w:rPr>
          <w:t xml:space="preserve">Controllability of complex networks</w:t>
        </w:r>
      </w:hyperlink>
      <w:r>
        <w:t xml:space="preserve">. Nature 473:167–173.</w:t>
      </w:r>
    </w:p>
    <w:bookmarkEnd w:id="111"/>
    <w:bookmarkStart w:id="113" w:name="Xd3bc60a647f9ff13377c15a84381aefaf14c1db"/>
    <w:p>
      <w:pPr>
        <w:pStyle w:val="Bibliography"/>
      </w:pPr>
      <w:r>
        <w:t xml:space="preserve">Loreau, M., and C. de Mazancourt. 2013.</w:t>
      </w:r>
      <w:r>
        <w:t xml:space="preserve"> </w:t>
      </w:r>
      <w:hyperlink r:id="rId112">
        <w:r>
          <w:rPr>
            <w:rStyle w:val="Hyperlink"/>
          </w:rPr>
          <w:t xml:space="preserve">Biodiversity and ecosystem stability: A synthesis of underlying mechanisms</w:t>
        </w:r>
      </w:hyperlink>
      <w:r>
        <w:t xml:space="preserve">. Ecology Letters 16:106–115.</w:t>
      </w:r>
    </w:p>
    <w:bookmarkEnd w:id="113"/>
    <w:bookmarkStart w:id="115" w:name="ref-mayWillLargeComplex1972"/>
    <w:p>
      <w:pPr>
        <w:pStyle w:val="Bibliography"/>
      </w:pPr>
      <w:r>
        <w:t xml:space="preserve">May, R. M. 1972.</w:t>
      </w:r>
      <w:r>
        <w:t xml:space="preserve"> </w:t>
      </w:r>
      <w:hyperlink r:id="rId114">
        <w:r>
          <w:rPr>
            <w:rStyle w:val="Hyperlink"/>
          </w:rPr>
          <w:t xml:space="preserve">Will a</w:t>
        </w:r>
        <w:r>
          <w:rPr>
            <w:rStyle w:val="Hyperlink"/>
          </w:rPr>
          <w:t xml:space="preserve"> </w:t>
        </w:r>
        <w:r>
          <w:rPr>
            <w:rStyle w:val="Hyperlink"/>
          </w:rPr>
          <w:t xml:space="preserve">Large Complex System</w:t>
        </w:r>
        <w:r>
          <w:rPr>
            <w:rStyle w:val="Hyperlink"/>
          </w:rPr>
          <w:t xml:space="preserve"> </w:t>
        </w:r>
        <w:r>
          <w:rPr>
            <w:rStyle w:val="Hyperlink"/>
          </w:rPr>
          <w:t xml:space="preserve">be</w:t>
        </w:r>
        <w:r>
          <w:rPr>
            <w:rStyle w:val="Hyperlink"/>
          </w:rPr>
          <w:t xml:space="preserve"> </w:t>
        </w:r>
        <w:r>
          <w:rPr>
            <w:rStyle w:val="Hyperlink"/>
          </w:rPr>
          <w:t xml:space="preserve">Stable</w:t>
        </w:r>
        <w:r>
          <w:rPr>
            <w:rStyle w:val="Hyperlink"/>
          </w:rPr>
          <w:t xml:space="preserve">?</w:t>
        </w:r>
      </w:hyperlink>
      <w:r>
        <w:t xml:space="preserve"> Nature 238:413–414.</w:t>
      </w:r>
    </w:p>
    <w:bookmarkEnd w:id="115"/>
    <w:bookmarkStart w:id="117" w:name="ref-mayStabilityComplexityModel1974"/>
    <w:p>
      <w:pPr>
        <w:pStyle w:val="Bibliography"/>
      </w:pPr>
      <w:r>
        <w:t xml:space="preserve">———. 1974.</w:t>
      </w:r>
      <w:r>
        <w:t xml:space="preserve"> </w:t>
      </w:r>
      <w:hyperlink r:id="rId116">
        <w:r>
          <w:rPr>
            <w:rStyle w:val="Hyperlink"/>
          </w:rPr>
          <w:t xml:space="preserve">Stability and</w:t>
        </w:r>
        <w:r>
          <w:rPr>
            <w:rStyle w:val="Hyperlink"/>
          </w:rPr>
          <w:t xml:space="preserve"> </w:t>
        </w:r>
        <w:r>
          <w:rPr>
            <w:rStyle w:val="Hyperlink"/>
          </w:rPr>
          <w:t xml:space="preserve">Complexity</w:t>
        </w:r>
        <w:r>
          <w:rPr>
            <w:rStyle w:val="Hyperlink"/>
          </w:rPr>
          <w:t xml:space="preserve"> </w:t>
        </w:r>
        <w:r>
          <w:rPr>
            <w:rStyle w:val="Hyperlink"/>
          </w:rPr>
          <w:t xml:space="preserve">in</w:t>
        </w:r>
        <w:r>
          <w:rPr>
            <w:rStyle w:val="Hyperlink"/>
          </w:rPr>
          <w:t xml:space="preserve"> </w:t>
        </w:r>
        <w:r>
          <w:rPr>
            <w:rStyle w:val="Hyperlink"/>
          </w:rPr>
          <w:t xml:space="preserve">Model Ecosystems</w:t>
        </w:r>
      </w:hyperlink>
      <w:r>
        <w:t xml:space="preserve"> </w:t>
      </w:r>
      <w:r>
        <w:t xml:space="preserve">(Vol. 1). Princeton University Press.</w:t>
      </w:r>
    </w:p>
    <w:bookmarkEnd w:id="117"/>
    <w:bookmarkStart w:id="119" w:name="ref-mccannDiversityStabilityDebate2000"/>
    <w:p>
      <w:pPr>
        <w:pStyle w:val="Bibliography"/>
      </w:pPr>
      <w:r>
        <w:t xml:space="preserve">McCann, K. S. 2000.</w:t>
      </w:r>
      <w:r>
        <w:t xml:space="preserve"> </w:t>
      </w:r>
      <w:hyperlink r:id="rId118">
        <w:r>
          <w:rPr>
            <w:rStyle w:val="Hyperlink"/>
          </w:rPr>
          <w:t xml:space="preserve">The diversity–stability debate</w:t>
        </w:r>
      </w:hyperlink>
      <w:r>
        <w:t xml:space="preserve">. Nature 405:228–233.</w:t>
      </w:r>
    </w:p>
    <w:bookmarkEnd w:id="119"/>
    <w:bookmarkStart w:id="121" w:name="X88ecdfa9d1446d08e01bc0778af629a0f4bd17b"/>
    <w:p>
      <w:pPr>
        <w:pStyle w:val="Bibliography"/>
      </w:pPr>
      <w:r>
        <w:t xml:space="preserve">McCann, K., and A. Hastings. 1997.</w:t>
      </w:r>
      <w:r>
        <w:t xml:space="preserve"> </w:t>
      </w:r>
      <w:hyperlink r:id="rId120">
        <w:r>
          <w:rPr>
            <w:rStyle w:val="Hyperlink"/>
          </w:rPr>
          <w:t xml:space="preserve">Re-</w:t>
        </w:r>
        <w:r>
          <w:rPr>
            <w:rStyle w:val="Hyperlink"/>
          </w:rPr>
          <w:t xml:space="preserve">Evaluating</w:t>
        </w:r>
        <w:r>
          <w:rPr>
            <w:rStyle w:val="Hyperlink"/>
          </w:rPr>
          <w:t xml:space="preserve"> </w:t>
        </w:r>
        <w:r>
          <w:rPr>
            <w:rStyle w:val="Hyperlink"/>
          </w:rPr>
          <w:t xml:space="preserve">the</w:t>
        </w:r>
        <w:r>
          <w:rPr>
            <w:rStyle w:val="Hyperlink"/>
          </w:rPr>
          <w:t xml:space="preserve"> </w:t>
        </w:r>
        <w:r>
          <w:rPr>
            <w:rStyle w:val="Hyperlink"/>
          </w:rPr>
          <w:t xml:space="preserve">Omnivory-Stability Relationship</w:t>
        </w:r>
        <w:r>
          <w:rPr>
            <w:rStyle w:val="Hyperlink"/>
          </w:rPr>
          <w:t xml:space="preserve"> </w:t>
        </w:r>
        <w:r>
          <w:rPr>
            <w:rStyle w:val="Hyperlink"/>
          </w:rPr>
          <w:t xml:space="preserve">in</w:t>
        </w:r>
        <w:r>
          <w:rPr>
            <w:rStyle w:val="Hyperlink"/>
          </w:rPr>
          <w:t xml:space="preserve"> </w:t>
        </w:r>
        <w:r>
          <w:rPr>
            <w:rStyle w:val="Hyperlink"/>
          </w:rPr>
          <w:t xml:space="preserve">Food Webs</w:t>
        </w:r>
      </w:hyperlink>
      <w:r>
        <w:t xml:space="preserve">. Proceedings: Biological Sciences 264:1249–1254.</w:t>
      </w:r>
    </w:p>
    <w:bookmarkEnd w:id="121"/>
    <w:bookmarkStart w:id="123" w:name="ref-mccannWeakTrophicInteractions1998"/>
    <w:p>
      <w:pPr>
        <w:pStyle w:val="Bibliography"/>
      </w:pPr>
      <w:r>
        <w:t xml:space="preserve">McCann, K., A. Hastings, and G. R. Huxel. 1998.</w:t>
      </w:r>
      <w:r>
        <w:t xml:space="preserve"> </w:t>
      </w:r>
      <w:hyperlink r:id="rId122">
        <w:r>
          <w:rPr>
            <w:rStyle w:val="Hyperlink"/>
          </w:rPr>
          <w:t xml:space="preserve">Weak trophic interactions and the balance of nature</w:t>
        </w:r>
      </w:hyperlink>
      <w:r>
        <w:t xml:space="preserve">. Nature 395:794–798.</w:t>
      </w:r>
    </w:p>
    <w:bookmarkEnd w:id="123"/>
    <w:bookmarkStart w:id="125" w:name="ref-miloNetworkMotifsSimple2002"/>
    <w:p>
      <w:pPr>
        <w:pStyle w:val="Bibliography"/>
      </w:pPr>
      <w:r>
        <w:t xml:space="preserve">Milo, R., S. Shen-Orr, S. Itzkovitz, N. Kashtan, D. Chklovskii, and U. Alon. 2002.</w:t>
      </w:r>
      <w:r>
        <w:t xml:space="preserve"> </w:t>
      </w:r>
      <w:hyperlink r:id="rId124">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 Science 298:824–827.</w:t>
      </w:r>
    </w:p>
    <w:bookmarkEnd w:id="125"/>
    <w:bookmarkStart w:id="127" w:name="ref-montoyaEcologicalNetworksTheir2006"/>
    <w:p>
      <w:pPr>
        <w:pStyle w:val="Bibliography"/>
      </w:pPr>
      <w:r>
        <w:t xml:space="preserve">Montoya, J. M., S. L. Pimm, and R. V. Solé. 2006.</w:t>
      </w:r>
      <w:r>
        <w:t xml:space="preserve"> </w:t>
      </w:r>
      <w:hyperlink r:id="rId126">
        <w:r>
          <w:rPr>
            <w:rStyle w:val="Hyperlink"/>
          </w:rPr>
          <w:t xml:space="preserve">Ecological networks and their fragility</w:t>
        </w:r>
      </w:hyperlink>
      <w:r>
        <w:t xml:space="preserve">. Nature 442:259–264.</w:t>
      </w:r>
    </w:p>
    <w:bookmarkEnd w:id="127"/>
    <w:bookmarkStart w:id="129" w:name="ref-pimmFoodWebs1982"/>
    <w:p>
      <w:pPr>
        <w:pStyle w:val="Bibliography"/>
      </w:pPr>
      <w:r>
        <w:t xml:space="preserve">Pimm, S. L. 1982.</w:t>
      </w:r>
      <w:r>
        <w:t xml:space="preserve"> </w:t>
      </w:r>
      <w:hyperlink r:id="rId128">
        <w:r>
          <w:rPr>
            <w:rStyle w:val="Hyperlink"/>
          </w:rPr>
          <w:t xml:space="preserve">Food</w:t>
        </w:r>
        <w:r>
          <w:rPr>
            <w:rStyle w:val="Hyperlink"/>
          </w:rPr>
          <w:t xml:space="preserve"> </w:t>
        </w:r>
        <w:r>
          <w:rPr>
            <w:rStyle w:val="Hyperlink"/>
          </w:rPr>
          <w:t xml:space="preserve">Webs</w:t>
        </w:r>
      </w:hyperlink>
      <w:r>
        <w:t xml:space="preserve">. Springer Netherlands, Dordrecht.</w:t>
      </w:r>
    </w:p>
    <w:bookmarkEnd w:id="129"/>
    <w:bookmarkStart w:id="131" w:name="Xaecfe1d4a33bf02078e0db488e6aa2f6950ed89"/>
    <w:p>
      <w:pPr>
        <w:pStyle w:val="Bibliography"/>
      </w:pPr>
      <w:r>
        <w:t xml:space="preserve">———. 1984.</w:t>
      </w:r>
      <w:r>
        <w:t xml:space="preserve"> </w:t>
      </w:r>
      <w:hyperlink r:id="rId130">
        <w:r>
          <w:rPr>
            <w:rStyle w:val="Hyperlink"/>
          </w:rPr>
          <w:t xml:space="preserve">The complexity and stability of ecosystems</w:t>
        </w:r>
      </w:hyperlink>
      <w:r>
        <w:t xml:space="preserve">. Nature 307:321–326.</w:t>
      </w:r>
    </w:p>
    <w:bookmarkEnd w:id="131"/>
    <w:bookmarkStart w:id="133" w:name="ref-poisotMangalMakingEcological2016"/>
    <w:p>
      <w:pPr>
        <w:pStyle w:val="Bibliography"/>
      </w:pPr>
      <w:r>
        <w:t xml:space="preserve">Poisot, T., B. Baiser, J. Dunne, S. Kéfi, F. Massol, N. Mouquet, T. N. Romanuk, et al. 2016.</w:t>
      </w:r>
      <w:r>
        <w:t xml:space="preserve"> </w:t>
      </w:r>
      <w:hyperlink r:id="rId132">
        <w:r>
          <w:rPr>
            <w:rStyle w:val="Hyperlink"/>
          </w:rPr>
          <w:t xml:space="preserve">Mangal – making ecological network analysis simple</w:t>
        </w:r>
      </w:hyperlink>
      <w:r>
        <w:t xml:space="preserve">. Ecography 39:384–390.</w:t>
      </w:r>
    </w:p>
    <w:bookmarkEnd w:id="133"/>
    <w:bookmarkStart w:id="135" w:name="ref-polisFoodWebComplexity1996"/>
    <w:p>
      <w:pPr>
        <w:pStyle w:val="Bibliography"/>
      </w:pPr>
      <w:r>
        <w:t xml:space="preserve">Polis, G. A., and D. R. Strong. 1996.</w:t>
      </w:r>
      <w:r>
        <w:t xml:space="preserve"> </w:t>
      </w:r>
      <w:hyperlink r:id="rId134">
        <w:r>
          <w:rPr>
            <w:rStyle w:val="Hyperlink"/>
          </w:rPr>
          <w:t xml:space="preserve">Food</w:t>
        </w:r>
        <w:r>
          <w:rPr>
            <w:rStyle w:val="Hyperlink"/>
          </w:rPr>
          <w:t xml:space="preserve"> </w:t>
        </w:r>
        <w:r>
          <w:rPr>
            <w:rStyle w:val="Hyperlink"/>
          </w:rPr>
          <w:t xml:space="preserve">Web Complexity</w:t>
        </w:r>
        <w:r>
          <w:rPr>
            <w:rStyle w:val="Hyperlink"/>
          </w:rPr>
          <w:t xml:space="preserve"> </w:t>
        </w:r>
        <w:r>
          <w:rPr>
            <w:rStyle w:val="Hyperlink"/>
          </w:rPr>
          <w:t xml:space="preserve">and</w:t>
        </w:r>
        <w:r>
          <w:rPr>
            <w:rStyle w:val="Hyperlink"/>
          </w:rPr>
          <w:t xml:space="preserve"> </w:t>
        </w:r>
        <w:r>
          <w:rPr>
            <w:rStyle w:val="Hyperlink"/>
          </w:rPr>
          <w:t xml:space="preserve">Community Dynamics</w:t>
        </w:r>
      </w:hyperlink>
      <w:r>
        <w:t xml:space="preserve">. The American Naturalist 147:813–846.</w:t>
      </w:r>
    </w:p>
    <w:bookmarkEnd w:id="135"/>
    <w:bookmarkStart w:id="137" w:name="X10460da2e5399b76b6461191e32f8f8d6c63253"/>
    <w:p>
      <w:pPr>
        <w:pStyle w:val="Bibliography"/>
      </w:pPr>
      <w:r>
        <w:t xml:space="preserve">Rooney, N., K. McCann, G. Gellner, and J. C. Moore. 2006.</w:t>
      </w:r>
      <w:r>
        <w:t xml:space="preserve"> </w:t>
      </w:r>
      <w:hyperlink r:id="rId136">
        <w:r>
          <w:rPr>
            <w:rStyle w:val="Hyperlink"/>
          </w:rPr>
          <w:t xml:space="preserve">Structural asymmetry and the stability of diverse food webs</w:t>
        </w:r>
      </w:hyperlink>
      <w:r>
        <w:t xml:space="preserve">. Nature 442:265–269.</w:t>
      </w:r>
    </w:p>
    <w:bookmarkEnd w:id="137"/>
    <w:bookmarkStart w:id="139" w:name="X3481a7b1378a8a1c27d457ba1288232f0ac90bb"/>
    <w:p>
      <w:pPr>
        <w:pStyle w:val="Bibliography"/>
      </w:pPr>
      <w:r>
        <w:t xml:space="preserve">Staniczenko, P. P. A., J. C. Kopp, and S. Allesina. 2013.</w:t>
      </w:r>
      <w:r>
        <w:t xml:space="preserve"> </w:t>
      </w:r>
      <w:hyperlink r:id="rId138">
        <w:r>
          <w:rPr>
            <w:rStyle w:val="Hyperlink"/>
          </w:rPr>
          <w:t xml:space="preserve">The ghost of nestedness in ecological networks</w:t>
        </w:r>
      </w:hyperlink>
      <w:r>
        <w:t xml:space="preserve">. Nature Communications 4:1391.</w:t>
      </w:r>
    </w:p>
    <w:bookmarkEnd w:id="139"/>
    <w:bookmarkStart w:id="141" w:name="X68c2569f5b2fe4541ba4943c3bf915f8f3f59a5"/>
    <w:p>
      <w:pPr>
        <w:pStyle w:val="Bibliography"/>
      </w:pPr>
      <w:r>
        <w:t xml:space="preserve">Stouffer, D. B., and J. Bascompte. 2010.</w:t>
      </w:r>
      <w:r>
        <w:t xml:space="preserve"> </w:t>
      </w:r>
      <w:hyperlink r:id="rId140">
        <w:r>
          <w:rPr>
            <w:rStyle w:val="Hyperlink"/>
          </w:rPr>
          <w:t xml:space="preserve">Understanding food-web persistence from local to global scales</w:t>
        </w:r>
      </w:hyperlink>
      <w:r>
        <w:t xml:space="preserve">. Ecology Letters 13:154–161.</w:t>
      </w:r>
    </w:p>
    <w:bookmarkEnd w:id="141"/>
    <w:bookmarkStart w:id="143" w:name="ref-stoufferRobustMeasureFood2006"/>
    <w:p>
      <w:pPr>
        <w:pStyle w:val="Bibliography"/>
      </w:pPr>
      <w:r>
        <w:t xml:space="preserve">Stouffer, D. B., J. Camacho, and L. A. N. Amaral. 2006.</w:t>
      </w:r>
      <w:r>
        <w:t xml:space="preserve"> </w:t>
      </w:r>
      <w:hyperlink r:id="rId142">
        <w:r>
          <w:rPr>
            <w:rStyle w:val="Hyperlink"/>
          </w:rPr>
          <w:t xml:space="preserve">A robust measure of food web intervality</w:t>
        </w:r>
      </w:hyperlink>
      <w:r>
        <w:t xml:space="preserve">. Proceedings of the National Academy of Sciences 103:19015–19020.</w:t>
      </w:r>
    </w:p>
    <w:bookmarkEnd w:id="143"/>
    <w:bookmarkStart w:id="145" w:name="ref-stoufferEvidenceExistenceRobust2007"/>
    <w:p>
      <w:pPr>
        <w:pStyle w:val="Bibliography"/>
      </w:pPr>
      <w:r>
        <w:t xml:space="preserve">Stouffer, D. B., J. Camacho, W. Jiang, and L. A. Nunes Amaral. 2007.</w:t>
      </w:r>
      <w:r>
        <w:t xml:space="preserve"> </w:t>
      </w:r>
      <w:hyperlink r:id="rId144">
        <w:r>
          <w:rPr>
            <w:rStyle w:val="Hyperlink"/>
          </w:rPr>
          <w:t xml:space="preserve">Evidence for the existence of a robust pattern of prey selection in food webs</w:t>
        </w:r>
      </w:hyperlink>
      <w:r>
        <w:t xml:space="preserve">. Proceedings of the Royal Society B: Biological Sciences 274:1931–1940.</w:t>
      </w:r>
    </w:p>
    <w:bookmarkEnd w:id="145"/>
    <w:bookmarkStart w:id="147" w:name="ref-strydomSVDEntropyReveals2021"/>
    <w:p>
      <w:pPr>
        <w:pStyle w:val="Bibliography"/>
      </w:pPr>
      <w:r>
        <w:t xml:space="preserve">Strydom, T., G. V. Dalla Riva, and T. Poisot. 2021.</w:t>
      </w:r>
      <w:r>
        <w:t xml:space="preserve"> </w:t>
      </w:r>
      <w:hyperlink r:id="rId146">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 Frontiers in Ecology and Evolution 9.</w:t>
      </w:r>
    </w:p>
    <w:bookmarkEnd w:id="147"/>
    <w:bookmarkStart w:id="149" w:name="X7030f22390f7878fdd87fd7cd78b728fb735d12"/>
    <w:p>
      <w:pPr>
        <w:pStyle w:val="Bibliography"/>
      </w:pPr>
      <w:r>
        <w:t xml:space="preserve">Thébault, E., and C. Fontaine. 2010.</w:t>
      </w:r>
      <w:r>
        <w:t xml:space="preserve"> </w:t>
      </w:r>
      <w:hyperlink r:id="rId148">
        <w:r>
          <w:rPr>
            <w:rStyle w:val="Hyperlink"/>
          </w:rPr>
          <w:t xml:space="preserve">Stability of ecological communities and the architecture of mutualistic and trophic networks</w:t>
        </w:r>
      </w:hyperlink>
      <w:r>
        <w:t xml:space="preserve">. Science (New York, N.Y.) 329:853–856.</w:t>
      </w:r>
    </w:p>
    <w:bookmarkEnd w:id="149"/>
    <w:bookmarkStart w:id="151" w:name="ref-thompsonFoodWebsReconciling2012"/>
    <w:p>
      <w:pPr>
        <w:pStyle w:val="Bibliography"/>
      </w:pPr>
      <w:r>
        <w:t xml:space="preserve">Thompson, R. M., U. Brose, J. Dunne, R. O. Hall, S. Hladyz, R. L. Kitching, N. D. Martinez, et al. 2012.</w:t>
      </w:r>
      <w:r>
        <w:t xml:space="preserve"> </w:t>
      </w:r>
      <w:hyperlink r:id="rId150">
        <w:r>
          <w:rPr>
            <w:rStyle w:val="Hyperlink"/>
          </w:rPr>
          <w:t xml:space="preserve">Food webs: Reconciling the structure and function of biodiversity</w:t>
        </w:r>
      </w:hyperlink>
      <w:r>
        <w:t xml:space="preserve">. Trends in Ecology &amp; Evolution 27:689–697.</w:t>
      </w:r>
    </w:p>
    <w:bookmarkEnd w:id="151"/>
    <w:bookmarkStart w:id="153" w:name="ref-vermaatMajorDimensionsFoodweb2009"/>
    <w:p>
      <w:pPr>
        <w:pStyle w:val="Bibliography"/>
      </w:pPr>
      <w:r>
        <w:t xml:space="preserve">Vermaat, J. E., J. A. Dunne, and A. J. Gilbert. 2009.</w:t>
      </w:r>
      <w:r>
        <w:t xml:space="preserve"> </w:t>
      </w:r>
      <w:hyperlink r:id="rId152">
        <w:r>
          <w:rPr>
            <w:rStyle w:val="Hyperlink"/>
          </w:rPr>
          <w:t xml:space="preserve">Major dimensions in food-web structure properties</w:t>
        </w:r>
      </w:hyperlink>
      <w:r>
        <w:t xml:space="preserve">. Ecology 90:278–282.</w:t>
      </w:r>
    </w:p>
    <w:bookmarkEnd w:id="153"/>
    <w:bookmarkStart w:id="155" w:name="X213a6aaf50050957348988b5bbabc4dd1122e7b"/>
    <w:p>
      <w:pPr>
        <w:pStyle w:val="Bibliography"/>
      </w:pPr>
      <w:r>
        <w:t xml:space="preserve">Walker, B. H. 1992.</w:t>
      </w:r>
      <w:r>
        <w:t xml:space="preserve"> </w:t>
      </w:r>
      <w:hyperlink r:id="rId154">
        <w:r>
          <w:rPr>
            <w:rStyle w:val="Hyperlink"/>
          </w:rPr>
          <w:t xml:space="preserve">Biodiversity and</w:t>
        </w:r>
        <w:r>
          <w:rPr>
            <w:rStyle w:val="Hyperlink"/>
          </w:rPr>
          <w:t xml:space="preserve"> </w:t>
        </w:r>
        <w:r>
          <w:rPr>
            <w:rStyle w:val="Hyperlink"/>
          </w:rPr>
          <w:t xml:space="preserve">Ecological Redundancy</w:t>
        </w:r>
      </w:hyperlink>
      <w:r>
        <w:t xml:space="preserve">. Conservation Biology 6:18–23.</w:t>
      </w:r>
    </w:p>
    <w:bookmarkEnd w:id="155"/>
    <w:bookmarkStart w:id="157" w:name="X5f45a7a099d08070703fc184810d23dd2e88abd"/>
    <w:p>
      <w:pPr>
        <w:pStyle w:val="Bibliography"/>
      </w:pPr>
      <w:r>
        <w:t xml:space="preserve">Watts, D. J., and S. H. Strogatz. 1998.</w:t>
      </w:r>
      <w:r>
        <w:t xml:space="preserve"> </w:t>
      </w:r>
      <w:hyperlink r:id="rId156">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 Nature 393:440–442.</w:t>
      </w:r>
    </w:p>
    <w:bookmarkEnd w:id="157"/>
    <w:bookmarkStart w:id="159" w:name="ref-williamsLimitsTrophicLevels2004"/>
    <w:p>
      <w:pPr>
        <w:pStyle w:val="Bibliography"/>
      </w:pPr>
      <w:r>
        <w:t xml:space="preserve">Williams, R. J., and N. D. Martinez. 2004.</w:t>
      </w:r>
      <w:r>
        <w:t xml:space="preserve"> </w:t>
      </w:r>
      <w:hyperlink r:id="rId158">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 The American Naturalist 163:458–468.</w:t>
      </w:r>
    </w:p>
    <w:bookmarkEnd w:id="159"/>
    <w:bookmarkStart w:id="161" w:name="X781f7e482417d8f33d808967da8cf24a047c245"/>
    <w:p>
      <w:pPr>
        <w:pStyle w:val="Bibliography"/>
      </w:pPr>
      <w:r>
        <w:t xml:space="preserve">Yodzis, P., and K. O. Winemiller. 1999.</w:t>
      </w:r>
      <w:r>
        <w:t xml:space="preserve"> </w:t>
      </w:r>
      <w:hyperlink r:id="rId160">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 Oikos 87:327–340.</w:t>
      </w:r>
    </w:p>
    <w:bookmarkEnd w:id="161"/>
    <w:bookmarkEnd w:id="162"/>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43" Target="media/rId43.png" /><Relationship Type="http://schemas.openxmlformats.org/officeDocument/2006/relationships/image" Id="rId31" Target="media/rId31.png" /><Relationship Type="http://schemas.openxmlformats.org/officeDocument/2006/relationships/image" Id="rId72" Target="media/rId72.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108" Target="https://doi.org/10.1002/ecs2.1900" TargetMode="External" /><Relationship Type="http://schemas.openxmlformats.org/officeDocument/2006/relationships/hyperlink" Id="rId128" Target="https://doi.org/10.1007/978-94-009-5925-5" TargetMode="External" /><Relationship Type="http://schemas.openxmlformats.org/officeDocument/2006/relationships/hyperlink" Id="rId150" Target="https://doi.org/10.1016/j.tree.2012.08.005" TargetMode="External" /><Relationship Type="http://schemas.openxmlformats.org/officeDocument/2006/relationships/hyperlink" Id="rId114" Target="https://doi.org/10.1038/238413a0" TargetMode="External" /><Relationship Type="http://schemas.openxmlformats.org/officeDocument/2006/relationships/hyperlink" Id="rId122" Target="https://doi.org/10.1038/27427" TargetMode="External" /><Relationship Type="http://schemas.openxmlformats.org/officeDocument/2006/relationships/hyperlink" Id="rId130" Target="https://doi.org/10.1038/307321a0" TargetMode="External" /><Relationship Type="http://schemas.openxmlformats.org/officeDocument/2006/relationships/hyperlink" Id="rId156" Target="https://doi.org/10.1038/30918" TargetMode="External" /><Relationship Type="http://schemas.openxmlformats.org/officeDocument/2006/relationships/hyperlink" Id="rId118" Target="https://doi.org/10.1038/35012234" TargetMode="External" /><Relationship Type="http://schemas.openxmlformats.org/officeDocument/2006/relationships/hyperlink" Id="rId136" Target="https://doi.org/10.1038/nature04887" TargetMode="External" /><Relationship Type="http://schemas.openxmlformats.org/officeDocument/2006/relationships/hyperlink" Id="rId126" Target="https://doi.org/10.1038/nature04927" TargetMode="External" /><Relationship Type="http://schemas.openxmlformats.org/officeDocument/2006/relationships/hyperlink" Id="rId110" Target="https://doi.org/10.1038/nature10011" TargetMode="External" /><Relationship Type="http://schemas.openxmlformats.org/officeDocument/2006/relationships/hyperlink" Id="rId87" Target="https://doi.org/10.1038/nature10832" TargetMode="External" /><Relationship Type="http://schemas.openxmlformats.org/officeDocument/2006/relationships/hyperlink" Id="rId138" Target="https://doi.org/10.1038/ncomms2422" TargetMode="External" /><Relationship Type="http://schemas.openxmlformats.org/officeDocument/2006/relationships/hyperlink" Id="rId142" Target="https://doi.org/10.1073/pnas.0603844103" TargetMode="External" /><Relationship Type="http://schemas.openxmlformats.org/officeDocument/2006/relationships/hyperlink" Id="rId106" Target="https://doi.org/10.1073/pnas.1409077111" TargetMode="External" /><Relationship Type="http://schemas.openxmlformats.org/officeDocument/2006/relationships/hyperlink" Id="rId89" Target="https://doi.org/10.1073/pnas.1633576100" TargetMode="External" /><Relationship Type="http://schemas.openxmlformats.org/officeDocument/2006/relationships/hyperlink" Id="rId93" Target="https://doi.org/10.1073/pnas.1904470116" TargetMode="External" /><Relationship Type="http://schemas.openxmlformats.org/officeDocument/2006/relationships/hyperlink" Id="rId158" Target="https://doi.org/10.1086/381964" TargetMode="External" /><Relationship Type="http://schemas.openxmlformats.org/officeDocument/2006/relationships/hyperlink" Id="rId144" Target="https://doi.org/10.1098/rspb.2007.0571" TargetMode="External" /><Relationship Type="http://schemas.openxmlformats.org/officeDocument/2006/relationships/hyperlink" Id="rId132" Target="https://doi.org/10.1111/ecog.00976" TargetMode="External" /><Relationship Type="http://schemas.openxmlformats.org/officeDocument/2006/relationships/hyperlink" Id="rId112" Target="https://doi.org/10.1111/ele.12073" TargetMode="External" /><Relationship Type="http://schemas.openxmlformats.org/officeDocument/2006/relationships/hyperlink" Id="rId95" Target="https://doi.org/10.1111/ele.12648" TargetMode="External" /><Relationship Type="http://schemas.openxmlformats.org/officeDocument/2006/relationships/hyperlink" Id="rId140" Target="https://doi.org/10.1111/j.1461-0248.2009.01407.x" TargetMode="External" /><Relationship Type="http://schemas.openxmlformats.org/officeDocument/2006/relationships/hyperlink" Id="rId104" Target="https://doi.org/10.1126/science.1133258" TargetMode="External" /><Relationship Type="http://schemas.openxmlformats.org/officeDocument/2006/relationships/hyperlink" Id="rId148" Target="https://doi.org/10.1126/science.1188321" TargetMode="External" /><Relationship Type="http://schemas.openxmlformats.org/officeDocument/2006/relationships/hyperlink" Id="rId124" Target="https://doi.org/10.1126/science.298.5594.824" TargetMode="External" /><Relationship Type="http://schemas.openxmlformats.org/officeDocument/2006/relationships/hyperlink" Id="rId91" Target="https://doi.org/10.1371/journal.pone.0038398" TargetMode="External" /><Relationship Type="http://schemas.openxmlformats.org/officeDocument/2006/relationships/hyperlink" Id="rId152" Target="https://doi.org/10.1890/07-0978.1" TargetMode="External" /><Relationship Type="http://schemas.openxmlformats.org/officeDocument/2006/relationships/hyperlink" Id="rId100" Target="https://doi.org/10.1890/07-1419.1" TargetMode="External" /><Relationship Type="http://schemas.openxmlformats.org/officeDocument/2006/relationships/hyperlink" Id="rId160" Target="https://doi.org/10.2307/3546748" TargetMode="External" /><Relationship Type="http://schemas.openxmlformats.org/officeDocument/2006/relationships/hyperlink" Id="rId116" Target="https://doi.org/10.2307/j.ctvs32rq4" TargetMode="External" /><Relationship Type="http://schemas.openxmlformats.org/officeDocument/2006/relationships/hyperlink" Id="rId146" Target="https://doi.org/10.3389/fevo.2021.623141" TargetMode="External" /><Relationship Type="http://schemas.openxmlformats.org/officeDocument/2006/relationships/hyperlink" Id="rId102" Target="https://doi.org/10.48550/arXiv.1403.2575" TargetMode="External" /><Relationship Type="http://schemas.openxmlformats.org/officeDocument/2006/relationships/hyperlink" Id="rId154" Target="https://www.jstor.org/stable/2385847" TargetMode="External" /><Relationship Type="http://schemas.openxmlformats.org/officeDocument/2006/relationships/hyperlink" Id="rId134" Target="https://www.jstor.org/stable/2463091" TargetMode="External" /><Relationship Type="http://schemas.openxmlformats.org/officeDocument/2006/relationships/hyperlink" Id="rId98" Target="https://www.jstor.org/stable/4142589" TargetMode="External" /><Relationship Type="http://schemas.openxmlformats.org/officeDocument/2006/relationships/hyperlink" Id="rId120" Target="https://www.jstor.org/stable/50878" TargetMode="External" /></Relationships>
</file>

<file path=word/_rels/footnotes.xml.rels><?xml version="1.0" encoding="UTF-8"?><Relationships xmlns="http://schemas.openxmlformats.org/package/2006/relationships"><Relationship Type="http://schemas.openxmlformats.org/officeDocument/2006/relationships/hyperlink" Id="rId108" Target="https://doi.org/10.1002/ecs2.1900" TargetMode="External" /><Relationship Type="http://schemas.openxmlformats.org/officeDocument/2006/relationships/hyperlink" Id="rId128" Target="https://doi.org/10.1007/978-94-009-5925-5" TargetMode="External" /><Relationship Type="http://schemas.openxmlformats.org/officeDocument/2006/relationships/hyperlink" Id="rId150" Target="https://doi.org/10.1016/j.tree.2012.08.005" TargetMode="External" /><Relationship Type="http://schemas.openxmlformats.org/officeDocument/2006/relationships/hyperlink" Id="rId114" Target="https://doi.org/10.1038/238413a0" TargetMode="External" /><Relationship Type="http://schemas.openxmlformats.org/officeDocument/2006/relationships/hyperlink" Id="rId122" Target="https://doi.org/10.1038/27427" TargetMode="External" /><Relationship Type="http://schemas.openxmlformats.org/officeDocument/2006/relationships/hyperlink" Id="rId130" Target="https://doi.org/10.1038/307321a0" TargetMode="External" /><Relationship Type="http://schemas.openxmlformats.org/officeDocument/2006/relationships/hyperlink" Id="rId156" Target="https://doi.org/10.1038/30918" TargetMode="External" /><Relationship Type="http://schemas.openxmlformats.org/officeDocument/2006/relationships/hyperlink" Id="rId118" Target="https://doi.org/10.1038/35012234" TargetMode="External" /><Relationship Type="http://schemas.openxmlformats.org/officeDocument/2006/relationships/hyperlink" Id="rId136" Target="https://doi.org/10.1038/nature04887" TargetMode="External" /><Relationship Type="http://schemas.openxmlformats.org/officeDocument/2006/relationships/hyperlink" Id="rId126" Target="https://doi.org/10.1038/nature04927" TargetMode="External" /><Relationship Type="http://schemas.openxmlformats.org/officeDocument/2006/relationships/hyperlink" Id="rId110" Target="https://doi.org/10.1038/nature10011" TargetMode="External" /><Relationship Type="http://schemas.openxmlformats.org/officeDocument/2006/relationships/hyperlink" Id="rId87" Target="https://doi.org/10.1038/nature10832" TargetMode="External" /><Relationship Type="http://schemas.openxmlformats.org/officeDocument/2006/relationships/hyperlink" Id="rId138" Target="https://doi.org/10.1038/ncomms2422" TargetMode="External" /><Relationship Type="http://schemas.openxmlformats.org/officeDocument/2006/relationships/hyperlink" Id="rId142" Target="https://doi.org/10.1073/pnas.0603844103" TargetMode="External" /><Relationship Type="http://schemas.openxmlformats.org/officeDocument/2006/relationships/hyperlink" Id="rId106" Target="https://doi.org/10.1073/pnas.1409077111" TargetMode="External" /><Relationship Type="http://schemas.openxmlformats.org/officeDocument/2006/relationships/hyperlink" Id="rId89" Target="https://doi.org/10.1073/pnas.1633576100" TargetMode="External" /><Relationship Type="http://schemas.openxmlformats.org/officeDocument/2006/relationships/hyperlink" Id="rId93" Target="https://doi.org/10.1073/pnas.1904470116" TargetMode="External" /><Relationship Type="http://schemas.openxmlformats.org/officeDocument/2006/relationships/hyperlink" Id="rId158" Target="https://doi.org/10.1086/381964" TargetMode="External" /><Relationship Type="http://schemas.openxmlformats.org/officeDocument/2006/relationships/hyperlink" Id="rId144" Target="https://doi.org/10.1098/rspb.2007.0571" TargetMode="External" /><Relationship Type="http://schemas.openxmlformats.org/officeDocument/2006/relationships/hyperlink" Id="rId132" Target="https://doi.org/10.1111/ecog.00976" TargetMode="External" /><Relationship Type="http://schemas.openxmlformats.org/officeDocument/2006/relationships/hyperlink" Id="rId112" Target="https://doi.org/10.1111/ele.12073" TargetMode="External" /><Relationship Type="http://schemas.openxmlformats.org/officeDocument/2006/relationships/hyperlink" Id="rId95" Target="https://doi.org/10.1111/ele.12648" TargetMode="External" /><Relationship Type="http://schemas.openxmlformats.org/officeDocument/2006/relationships/hyperlink" Id="rId140" Target="https://doi.org/10.1111/j.1461-0248.2009.01407.x" TargetMode="External" /><Relationship Type="http://schemas.openxmlformats.org/officeDocument/2006/relationships/hyperlink" Id="rId104" Target="https://doi.org/10.1126/science.1133258" TargetMode="External" /><Relationship Type="http://schemas.openxmlformats.org/officeDocument/2006/relationships/hyperlink" Id="rId148" Target="https://doi.org/10.1126/science.1188321" TargetMode="External" /><Relationship Type="http://schemas.openxmlformats.org/officeDocument/2006/relationships/hyperlink" Id="rId124" Target="https://doi.org/10.1126/science.298.5594.824" TargetMode="External" /><Relationship Type="http://schemas.openxmlformats.org/officeDocument/2006/relationships/hyperlink" Id="rId91" Target="https://doi.org/10.1371/journal.pone.0038398" TargetMode="External" /><Relationship Type="http://schemas.openxmlformats.org/officeDocument/2006/relationships/hyperlink" Id="rId152" Target="https://doi.org/10.1890/07-0978.1" TargetMode="External" /><Relationship Type="http://schemas.openxmlformats.org/officeDocument/2006/relationships/hyperlink" Id="rId100" Target="https://doi.org/10.1890/07-1419.1" TargetMode="External" /><Relationship Type="http://schemas.openxmlformats.org/officeDocument/2006/relationships/hyperlink" Id="rId160" Target="https://doi.org/10.2307/3546748" TargetMode="External" /><Relationship Type="http://schemas.openxmlformats.org/officeDocument/2006/relationships/hyperlink" Id="rId116" Target="https://doi.org/10.2307/j.ctvs32rq4" TargetMode="External" /><Relationship Type="http://schemas.openxmlformats.org/officeDocument/2006/relationships/hyperlink" Id="rId146" Target="https://doi.org/10.3389/fevo.2021.623141" TargetMode="External" /><Relationship Type="http://schemas.openxmlformats.org/officeDocument/2006/relationships/hyperlink" Id="rId102" Target="https://doi.org/10.48550/arXiv.1403.2575" TargetMode="External" /><Relationship Type="http://schemas.openxmlformats.org/officeDocument/2006/relationships/hyperlink" Id="rId154" Target="https://www.jstor.org/stable/2385847" TargetMode="External" /><Relationship Type="http://schemas.openxmlformats.org/officeDocument/2006/relationships/hyperlink" Id="rId134" Target="https://www.jstor.org/stable/2463091" TargetMode="External" /><Relationship Type="http://schemas.openxmlformats.org/officeDocument/2006/relationships/hyperlink" Id="rId98" Target="https://www.jstor.org/stable/4142589" TargetMode="External" /><Relationship Type="http://schemas.openxmlformats.org/officeDocument/2006/relationships/hyperlink" Id="rId120" Target="https://www.jstor.org/stable/508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2026-03-19T12:46:05Z</dcterms:created>
  <dcterms:modified xsi:type="dcterms:W3CDTF">2026-03-19T12:46:05Z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https://www.zotero.org/styles/the-american-naturalist</vt:lpwstr>
  </property>
  <property fmtid="{D5CDD505-2E9C-101B-9397-08002B2CF9AE}" pid="11" name="date">
    <vt:lpwstr>2026-03-19</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