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2025-12-17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properties. We use a combination of metrics from both the original</w:t>
            </w:r>
            <w:r>
              <w:t xml:space="preserve"> </w:t>
            </w:r>
            <w:r>
              <w:t xml:space="preserve">[1]</w:t>
            </w:r>
            <w:r>
              <w:t xml:space="preserve"> </w:t>
            </w:r>
            <w:r>
              <w:t xml:space="preserve">paper as well as including those that have been identified by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and have been linked to emerging ecosystem properties such as stability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degree to which the prey in a food web can be ordered so that all species can be placed along a single dimension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Prey:predator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Ratio of prey (basal + intermediate) to predators (top + intermediate)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measure of food web</w:t>
                  </w:r>
                  <w:r>
                    <w:t xml:space="preserve"> </w:t>
                  </w:r>
                  <w:r>
                    <w:t xml:space="preserve">‘shape’</w:t>
                  </w:r>
                  <w:r>
                    <w:t xml:space="preserve">. Values &lt;1 imply an inverted structure and might indicate instability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 level of secondary extinction that occurs in response to a particular perturbation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[12]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(30%)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3 (17%)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predpreyRatio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-0.51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thompsonFoodWebsReconciling201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Thompson, R.M.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</w:t>
      </w:r>
      <w:r>
        <w:t xml:space="preserve"> </w:t>
      </w:r>
      <w:hyperlink r:id="rId33">
        <w:r>
          <w:rPr>
            <w:rStyle w:val="Hyperlink"/>
          </w:rPr>
          <w:t xml:space="preserve">Food webs: Reconciling the structure and function of biodiversity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27, 689–697</w:t>
      </w:r>
    </w:p>
    <w:bookmarkEnd w:id="34"/>
    <w:bookmarkStart w:id="36" w:name="ref-williamsSuccessItsLimits2008a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5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 Anim Ecol</w:t>
      </w:r>
      <w:r>
        <w:t xml:space="preserve"> </w:t>
      </w:r>
      <w:r>
        <w:t xml:space="preserve">77, 512–519</w:t>
      </w:r>
    </w:p>
    <w:bookmarkEnd w:id="36"/>
    <w:bookmarkStart w:id="38" w:name="ref-williamsLimitsTrophicLevels200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7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8"/>
    <w:bookmarkStart w:id="40" w:name="X0cd8b1b2c315f3e3186e0dbbf2fc454fbc2ad9d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9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40"/>
    <w:bookmarkStart w:id="42" w:name="X3481a7b1378a8a1c27d457ba1288232f0ac90bb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41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4, 1391</w:t>
      </w:r>
    </w:p>
    <w:bookmarkEnd w:id="42"/>
    <w:bookmarkStart w:id="44" w:name="ref-strydomSVDEntropyReveals2021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3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Front. Ecol. Evol.</w:t>
      </w:r>
      <w:r>
        <w:t xml:space="preserve"> </w:t>
      </w:r>
      <w:r>
        <w:t xml:space="preserve">9</w:t>
      </w:r>
    </w:p>
    <w:bookmarkEnd w:id="44"/>
    <w:bookmarkStart w:id="46" w:name="ref-stoufferEvidenceExistenceRobust200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5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6"/>
    <w:bookmarkStart w:id="48" w:name="ref-miloNetworkMotifsSimple200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7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8"/>
    <w:bookmarkStart w:id="50" w:name="ref-stoufferRobustMeasureFood2006a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9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Proc. Natl. Acad. Sci. U.S.A.</w:t>
      </w:r>
      <w:r>
        <w:t xml:space="preserve"> </w:t>
      </w:r>
      <w:r>
        <w:t xml:space="preserve">103, 19015–19020</w:t>
      </w:r>
    </w:p>
    <w:bookmarkEnd w:id="50"/>
    <w:bookmarkStart w:id="52" w:name="ref-jonssonReliabilityR50Measure201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Jonsson,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(2015)</w:t>
      </w:r>
      <w:r>
        <w:t xml:space="preserve"> </w:t>
      </w:r>
      <w:hyperlink r:id="rId51">
        <w:r>
          <w:rPr>
            <w:rStyle w:val="Hyperlink"/>
          </w:rPr>
          <w:t xml:space="preserve">The reliability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R50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measure of vulnerability of food webs to sequential species deletions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124, 446–457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2025-12-17T10:40:46Z</dcterms:created>
  <dcterms:modified xsi:type="dcterms:W3CDTF">2025-12-17T10:40:46Z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2025-12-17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