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is a food web and why should we care?</w:t>
      </w:r>
    </w:p>
    <w:p>
      <w:pPr>
        <w:pStyle w:val="Author"/>
      </w:pPr>
      <w:r>
        <w:t xml:space="preserve">Tanya Strydom</w:t>
      </w:r>
    </w:p>
    <w:p>
      <w:pPr>
        <w:pStyle w:val="Date"/>
      </w:pPr>
      <w:r>
        <w:t xml:space="preserve">2024-12-02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bookmarkStart w:id="20" w:name="what-is-a-food-web"/>
    <w:p>
      <w:pPr>
        <w:pStyle w:val="Heading2"/>
      </w:pPr>
      <w:r>
        <w:t xml:space="preserve">0.1 What is a food web?</w:t>
      </w:r>
    </w:p>
    <w:bookmarkEnd w:id="20"/>
    <w:bookmarkStart w:id="21" w:name="what-do-food-webs-represent"/>
    <w:p>
      <w:pPr>
        <w:pStyle w:val="Heading2"/>
      </w:pPr>
      <w:r>
        <w:t xml:space="preserve">0.2 What do food webs represent</w:t>
      </w:r>
    </w:p>
    <w:bookmarkEnd w:id="21"/>
    <w:bookmarkStart w:id="22" w:name="what-can-we-learn-from-food-webs"/>
    <w:p>
      <w:pPr>
        <w:pStyle w:val="Heading2"/>
      </w:pPr>
      <w:r>
        <w:t xml:space="preserve">0.3 What can we learn from food webs</w:t>
      </w:r>
    </w:p>
    <w:p>
      <w:pPr>
        <w:pStyle w:val="FirstParagraph"/>
      </w:pPr>
      <w:r>
        <w:t xml:space="preserve">A reference…</w:t>
      </w:r>
      <w:r>
        <w:t xml:space="preserve"> </w:t>
      </w:r>
      <w:r>
        <w:t xml:space="preserve">(Poisot et al., 2015)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3">
        <w:r>
          <w:rPr>
            <w:rStyle w:val="Hyperlink"/>
          </w:rPr>
          <w:t xml:space="preserve">https://doi.org/10.1111/oik.01719</w:t>
        </w:r>
      </w:hyperlink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food web and why should we care?</dc:title>
  <dc:creator>Tanya Strydom</dc:creator>
  <cp:keywords>food webs</cp:keywords>
  <dcterms:created xsi:type="dcterms:W3CDTF">2024-12-02T15:19:42Z</dcterms:created>
  <dcterms:modified xsi:type="dcterms:W3CDTF">2024-12-02T15:19:42Z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2024-12-02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